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926AB09-BA4F-47B7-85DE-EB411A0F7550"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0" w:after="0"/>
        <w:rPr>
          <w:noProof/>
        </w:rPr>
      </w:pPr>
      <w:r>
        <w:rPr>
          <w:noProof/>
        </w:rPr>
        <w:t>L’accord de coopération dans le domaine de la science et de la technologie entre la Communauté européenne et le gouvernement de la Fédération de Russie</w:t>
      </w:r>
      <w:r>
        <w:rPr>
          <w:rStyle w:val="FootnoteReference"/>
          <w:noProof/>
        </w:rPr>
        <w:footnoteReference w:id="1"/>
      </w:r>
      <w:r>
        <w:rPr>
          <w:noProof/>
        </w:rPr>
        <w:t xml:space="preserve"> (ci-après l’«accord») a été signé à Bruxelles le 16 novembre 2000 et est entré en vigueur le 10 mai 2001. Depuis lors, et conformément à son article 12, l’accord a été renouvelé à trois reprises, en 2004</w:t>
      </w:r>
      <w:r>
        <w:rPr>
          <w:rStyle w:val="FootnoteReference"/>
          <w:noProof/>
        </w:rPr>
        <w:footnoteReference w:id="2"/>
      </w:r>
      <w:r>
        <w:rPr>
          <w:noProof/>
        </w:rPr>
        <w:t>, 2009</w:t>
      </w:r>
      <w:r>
        <w:rPr>
          <w:rStyle w:val="FootnoteReference"/>
          <w:noProof/>
        </w:rPr>
        <w:footnoteReference w:id="3"/>
      </w:r>
      <w:r>
        <w:rPr>
          <w:noProof/>
        </w:rPr>
        <w:t xml:space="preserve"> et 2014</w:t>
      </w:r>
      <w:r>
        <w:rPr>
          <w:rStyle w:val="FootnoteReference"/>
          <w:noProof/>
        </w:rPr>
        <w:footnoteReference w:id="4"/>
      </w:r>
      <w:r>
        <w:rPr>
          <w:noProof/>
        </w:rPr>
        <w:t>, pour une période supplémentaire de cinq ans à chaque fois.</w:t>
      </w:r>
    </w:p>
    <w:p>
      <w:pPr>
        <w:spacing w:before="0" w:after="0"/>
        <w:ind w:left="-46"/>
        <w:rPr>
          <w:noProof/>
        </w:rPr>
      </w:pPr>
    </w:p>
    <w:p>
      <w:pPr>
        <w:spacing w:before="0" w:after="0"/>
        <w:ind w:left="-46"/>
        <w:rPr>
          <w:noProof/>
        </w:rPr>
      </w:pPr>
      <w:r>
        <w:rPr>
          <w:noProof/>
        </w:rPr>
        <w:t xml:space="preserve">L'accord actuel expire le 20 février 2019. </w:t>
      </w:r>
    </w:p>
    <w:p>
      <w:pPr>
        <w:spacing w:before="0" w:after="0"/>
        <w:ind w:left="-46"/>
        <w:rPr>
          <w:noProof/>
        </w:rPr>
      </w:pPr>
    </w:p>
    <w:p>
      <w:pPr>
        <w:spacing w:before="0" w:after="0"/>
        <w:ind w:left="-46"/>
        <w:rPr>
          <w:noProof/>
        </w:rPr>
      </w:pPr>
      <w:r>
        <w:rPr>
          <w:noProof/>
        </w:rPr>
        <w:t>Il est dans l’intérêt de l’Union européenne de renouveler cet accord afin de continuer à faciliter la coopération avec la Fédération de Russie dans des domaines prioritaires communs des sciences et des technologies qui bénéficient aux deux parties.</w:t>
      </w:r>
    </w:p>
    <w:p>
      <w:pPr>
        <w:spacing w:before="0" w:after="0"/>
        <w:ind w:left="-46"/>
        <w:rPr>
          <w:noProof/>
        </w:rPr>
      </w:pPr>
    </w:p>
    <w:p>
      <w:pPr>
        <w:spacing w:before="0" w:after="0"/>
        <w:ind w:left="-46"/>
        <w:rPr>
          <w:noProof/>
        </w:rPr>
      </w:pPr>
      <w:r>
        <w:rPr>
          <w:noProof/>
        </w:rPr>
        <w:t xml:space="preserve">Dans le voisinage de l’UE, </w:t>
      </w:r>
      <w:r>
        <w:rPr>
          <w:noProof/>
          <w:color w:val="010202"/>
        </w:rPr>
        <w:t>la Russie est l’acteur le plus important</w:t>
      </w:r>
      <w:r>
        <w:rPr>
          <w:noProof/>
        </w:rPr>
        <w:t xml:space="preserve"> en matière de science, de technologie et d’innovation (STI)</w:t>
      </w:r>
      <w:r>
        <w:rPr>
          <w:noProof/>
          <w:color w:val="010202"/>
        </w:rPr>
        <w:t xml:space="preserve"> qui n’est pas associé au programme-cadre Horizon 2020. </w:t>
      </w:r>
      <w:r>
        <w:rPr>
          <w:noProof/>
        </w:rPr>
        <w:t>La coopération en matière de STI entre l’UE et la Russie a toujours été très active, notamment dans les domaines des infrastructures de recherche, des transports et de l’environnement. Toutefois, alors que la Russie était le pays tiers non associé participant le plus actif dans le 7</w:t>
      </w:r>
      <w:r>
        <w:rPr>
          <w:noProof/>
          <w:vertAlign w:val="superscript"/>
        </w:rPr>
        <w:t>e</w:t>
      </w:r>
      <w:r>
        <w:rPr>
          <w:noProof/>
        </w:rPr>
        <w:t xml:space="preserve"> PC, le niveau de collaboration dans le cadre d’Horizon 2020 est bien en deçà de son potentiel, ce qui est dû, dans une large mesure, à la modification des règles de financement introduite par ce programme, en vertu desquelles les entités juridiques de la Russie (ainsi que du Brésil, de l’Inde, de la Chine et du Mexique) ne sont plus automatiquement éligibles à un financement de l’UE, mais également à la situation politique.</w:t>
      </w:r>
    </w:p>
    <w:p>
      <w:pPr>
        <w:spacing w:before="0" w:after="0"/>
        <w:ind w:left="-46"/>
        <w:rPr>
          <w:noProof/>
        </w:rPr>
      </w:pPr>
    </w:p>
    <w:p>
      <w:pPr>
        <w:spacing w:before="0" w:after="0"/>
        <w:ind w:left="-46"/>
        <w:rPr>
          <w:noProof/>
          <w:color w:val="010202"/>
          <w:szCs w:val="24"/>
        </w:rPr>
      </w:pPr>
      <w:r>
        <w:rPr>
          <w:noProof/>
          <w:color w:val="010202"/>
        </w:rPr>
        <w:t>Parmi tous les pays non associés, la Russie se classe actuellement 6</w:t>
      </w:r>
      <w:r>
        <w:rPr>
          <w:noProof/>
          <w:color w:val="010202"/>
          <w:vertAlign w:val="superscript"/>
        </w:rPr>
        <w:t>e</w:t>
      </w:r>
      <w:r>
        <w:rPr>
          <w:noProof/>
          <w:color w:val="010202"/>
        </w:rPr>
        <w:t xml:space="preserve"> en termes de participations dans des projets collaboratifs d’Horizon 2020. En outre, le programme de travail Horizon 2020 pour la période 2018-2020 vise à intensifier la coopération avec la Russie sur des sujets d’intérêt mutuel et commun. En plus de l’ouverture générale du programme Horizon 2020 à des entités du monde entier, y compris de la Russie, il existe notamment deux initiatives phares de coopération bilatérale avec la Russie dans les domaines des infrastructures de recherche et de la santé. Une initiative phare de coopération multilatérale dans le domaine de l’aéronautique cible également la Russie.</w:t>
      </w:r>
    </w:p>
    <w:p>
      <w:pPr>
        <w:spacing w:before="0" w:after="0"/>
        <w:ind w:left="-46"/>
        <w:rPr>
          <w:noProof/>
        </w:rPr>
      </w:pPr>
    </w:p>
    <w:p>
      <w:pPr>
        <w:spacing w:before="0" w:after="0"/>
        <w:ind w:left="-46"/>
        <w:rPr>
          <w:noProof/>
        </w:rPr>
      </w:pPr>
      <w:r>
        <w:rPr>
          <w:noProof/>
        </w:rPr>
        <w:t xml:space="preserve">Le renouvellement de l’accord s’inscrit dans l’approche de l’UE fondée sur les cinq principes directeurs pour gérer les relations actuelles de l’UE avec la Russie, qui ont été convenus lors du Conseil des affaires étrangères de l’UE du 14 mars 2016 et confirmés lors de celui du 16 avril 2018. La diplomatie scientifique peut être un outil puissant dans nos relations avec la Russie, car elle apporte un programme de coopération positive et constitue une source de «puissance douce» qui peut être particulièrement déterminante pour catalyser et ouvrir des canaux de communication et instaurer un climat de confiance entre nos sociétés. L’accord prévoit un cadre visant à renforcer, dans les années à venir, les contacts interpersonnels et la coopération en matière de STI dans des domaines d’intérêt stratégique de l’UE, afin de contrer la tendance à la baisse de l’intensité de la collaboration scientifique entre les participants de l’UE et de la Russie. Pour ces raisons, il est utile de le renouveler pour les cinq prochaines années. </w:t>
      </w:r>
    </w:p>
    <w:p>
      <w:pPr>
        <w:spacing w:before="0" w:after="0"/>
        <w:ind w:left="-46"/>
        <w:rPr>
          <w:noProof/>
        </w:rPr>
      </w:pPr>
    </w:p>
    <w:p>
      <w:pPr>
        <w:pBdr>
          <w:top w:val="nil"/>
          <w:left w:val="nil"/>
          <w:bottom w:val="nil"/>
          <w:right w:val="nil"/>
          <w:between w:val="nil"/>
          <w:bar w:val="nil"/>
        </w:pBdr>
        <w:spacing w:before="0" w:after="240"/>
        <w:rPr>
          <w:noProof/>
        </w:rPr>
      </w:pPr>
      <w:r>
        <w:rPr>
          <w:noProof/>
        </w:rPr>
        <w:t>Lors de la réunion du comité mixte de coopération scientifique et technologique UE-Russie institué par l’accord, qui s’est tenue à Moscou le 28 septembre 2018, les deux parties, reconnaissant les progrès réalisés pour renforcer la coopération entre l’UE et la Russie dans le domaine de la recherche et de l’innovation, ont pris acte de leur intention de renouveler ledit accord, sans aucune modification, pour une nouvelle période de cinq ans.</w:t>
      </w:r>
    </w:p>
    <w:p>
      <w:pPr>
        <w:spacing w:before="0" w:after="0"/>
        <w:rPr>
          <w:noProof/>
          <w:color w:val="010202"/>
          <w:szCs w:val="24"/>
        </w:rPr>
      </w:pPr>
      <w:r>
        <w:rPr>
          <w:noProof/>
        </w:rPr>
        <w:t>Le contenu de l’accord renouvelé sera identique à celui de l’accord actuel, tel qu’il a été examiné et approuvé avec les homologues russes. Il ne créera pas de nouveaux droits et obligations pour l’UE, mais étendra au contraire dans le temps le régime juridique existant entre les parties dans le domaine de la coopération scientifique et technologique.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Cette initiative est pleinement conforme à la stratégie de coopération internationale de l’UE pour la recherche et l’innovation</w:t>
      </w:r>
      <w:r>
        <w:rPr>
          <w:rStyle w:val="FootnoteReference"/>
          <w:noProof/>
        </w:rPr>
        <w:footnoteReference w:id="5"/>
      </w:r>
      <w:r>
        <w:rPr>
          <w:noProof/>
        </w:rPr>
        <w:t>, la Russie étant un partenaire stratégique de l’UE dans ces domaines. La stratégie de l’UE énonce clairement que les accords en matière de science et technologie sont des instruments importants dans la définition et la mise en œuvre des feuilles de route pluriannuelles pour la coopération avec les pays tiers. L’accord est également un moyen de mettre en œuvre la stratégie de coopération internationale de l’UE dans la recherche et l’innovation, qui appelle à davantage d’internationalisation et d’ouverture dans le paysage de la recherche et de l’innovation en Europe.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szCs w:val="24"/>
        </w:rPr>
      </w:pPr>
      <w:r>
        <w:rPr>
          <w:noProof/>
        </w:rPr>
        <w:t>La stratégie globale pour la politique étrangère et de sécurité de l’UE confirme que la coopération en matière de recherche est un aspect important de la politique étrangère de l’UE et considère que cette coopération est un élément essentiel qui permet de renforcer les liens socio-économiques.</w:t>
      </w:r>
    </w:p>
    <w:p>
      <w:pPr>
        <w:pBdr>
          <w:top w:val="nil"/>
          <w:left w:val="nil"/>
          <w:bottom w:val="nil"/>
          <w:right w:val="nil"/>
          <w:between w:val="nil"/>
          <w:bar w:val="nil"/>
        </w:pBdr>
        <w:spacing w:before="0" w:after="240"/>
        <w:rPr>
          <w:noProof/>
        </w:rPr>
      </w:pPr>
      <w:r>
        <w:rPr>
          <w:noProof/>
        </w:rPr>
        <w:t>L’initiative présentée est cohérente avec les principes qui régissent actuellement les relations UE-Russie, tels qu’ils ont été convenus lors du Conseil des affaires étrangères de l’UE du 14 mars 2016 et confirmés lors de celui du 16 avril 2018.</w:t>
      </w:r>
    </w:p>
    <w:p>
      <w:pPr>
        <w:pBdr>
          <w:top w:val="nil"/>
          <w:left w:val="nil"/>
          <w:bottom w:val="nil"/>
          <w:right w:val="nil"/>
          <w:between w:val="nil"/>
          <w:bar w:val="nil"/>
        </w:pBdr>
        <w:spacing w:before="0" w:after="240"/>
        <w:rPr>
          <w:noProof/>
        </w:rPr>
      </w:pPr>
      <w:r>
        <w:rPr>
          <w:noProof/>
        </w:rPr>
        <w:t>La Commission devra assurer la conformité de la mise en œuvre de l’accord renouvelé aux mesures restrictives de l’UE.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compétence de l’Union pour agir au niveau international dans le domaine de la recherche et du développement technologique est fondée sur l’article 186 du TFUE. La base juridique procédurale de la proposition est l’article 218, paragraphe 6, deuxième alinéa, sous a) v), du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szCs w:val="24"/>
        </w:rPr>
      </w:pPr>
      <w:r>
        <w:rPr>
          <w:noProof/>
        </w:rPr>
        <w:t>L’Union européenne et ses États membres disposent de compétences parallèles dans le domaine de la recherche et du développement technologique conformément à l’article 4, paragraphe 3, du TFUE. Dès lors, l’action de l’Union ne saurait être remplacée par celle des États membres.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szCs w:val="24"/>
        </w:rPr>
      </w:pPr>
      <w:r>
        <w:rPr>
          <w:noProof/>
        </w:rPr>
        <w:t xml:space="preserve">Cette initiative n’est pas intégrée dans le programme REFIT. </w:t>
      </w:r>
    </w:p>
    <w:p>
      <w:pPr>
        <w:pStyle w:val="ManualHeading1"/>
        <w:rPr>
          <w:noProof/>
          <w:szCs w:val="24"/>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Seules des ressources humaines et administratives sont nécessaires; elles sont exposées dans la fiche financière législative.</w:t>
      </w:r>
    </w:p>
    <w:p>
      <w:pPr>
        <w:pBdr>
          <w:top w:val="nil"/>
          <w:left w:val="nil"/>
          <w:bottom w:val="nil"/>
          <w:right w:val="nil"/>
          <w:between w:val="nil"/>
          <w:bar w:val="nil"/>
        </w:pBdr>
        <w:spacing w:before="0" w:after="240"/>
        <w:rPr>
          <w:noProof/>
          <w:szCs w:val="24"/>
        </w:rPr>
      </w:pPr>
      <w:r>
        <w:rPr>
          <w:noProof/>
        </w:rPr>
        <w:t xml:space="preserve">Eu égard aux considérations qui précèdent, la Commission propose que le Conseil: </w:t>
      </w:r>
    </w:p>
    <w:p>
      <w:pPr>
        <w:pBdr>
          <w:top w:val="nil"/>
          <w:left w:val="nil"/>
          <w:bottom w:val="nil"/>
          <w:right w:val="nil"/>
          <w:between w:val="nil"/>
          <w:bar w:val="nil"/>
        </w:pBdr>
        <w:spacing w:before="0" w:after="240"/>
        <w:rPr>
          <w:rFonts w:eastAsia="Arial Unicode MS"/>
          <w:noProof/>
          <w:color w:val="008000"/>
          <w:szCs w:val="24"/>
        </w:rPr>
      </w:pPr>
      <w:r>
        <w:rPr>
          <w:noProof/>
        </w:rPr>
        <w:t>- approuve, au nom de l'Union, et avec l'approbation du Parlement européen, le renouvellement, pour une période supplémentaire de cinq ans, de l’accord de coopération dans le domaine de la science et de la technologie entre la Communauté européenne et le gouvernement de la Fédération de Russie (à savoir, du 20 février 2019 au 19 février 2024);</w:t>
      </w:r>
    </w:p>
    <w:p>
      <w:pPr>
        <w:rPr>
          <w:noProof/>
          <w:szCs w:val="24"/>
        </w:rPr>
      </w:pPr>
      <w:r>
        <w:rPr>
          <w:noProof/>
        </w:rPr>
        <w:t>- autorise le président du Conseil à désigner la ou les personnes habilitées à notifier au gouvernement de la Fédération de Russie que l'Union a accompli les procédures internes nécessaires à l'entrée en vigueur de l'accord renouvelé.</w:t>
      </w:r>
    </w:p>
    <w:p>
      <w:pPr>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2019/0005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concernant le renouvellement de l’accord de coopération dans le domaine de la science et de la technologie entre la Communauté européenne et le gouvernement de la Fédération de Russie </w:t>
      </w:r>
    </w:p>
    <w:p>
      <w:pPr>
        <w:pStyle w:val="Institutionquiagit"/>
        <w:rPr>
          <w:noProof/>
        </w:rPr>
      </w:pPr>
      <w:r>
        <w:rPr>
          <w:noProof/>
        </w:rPr>
        <w:t>LE CONSEIL DE L’UNION EUROPÉENNE,</w:t>
      </w:r>
    </w:p>
    <w:p>
      <w:pPr>
        <w:rPr>
          <w:noProof/>
          <w:sz w:val="23"/>
          <w:szCs w:val="23"/>
        </w:rPr>
      </w:pPr>
      <w:r>
        <w:rPr>
          <w:noProof/>
        </w:rPr>
        <w:t>vu le traité sur le fonctionnement de l'Union européenne, et notamment son article </w:t>
      </w:r>
      <w:r>
        <w:rPr>
          <w:noProof/>
          <w:sz w:val="23"/>
        </w:rPr>
        <w:t>186, en liaison avec l'article 218, paragraphe 6, point a)</w:t>
      </w:r>
      <w:r>
        <w:rPr>
          <w:noProof/>
        </w:rPr>
        <w:t>,</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rPr>
          <w:noProof/>
        </w:rPr>
        <w:t>(1)</w:t>
      </w:r>
      <w:r>
        <w:rPr>
          <w:noProof/>
        </w:rPr>
        <w:tab/>
        <w:t>Par sa décision 2000/742/EC</w:t>
      </w:r>
      <w:r>
        <w:rPr>
          <w:rStyle w:val="FootnoteReference"/>
          <w:noProof/>
        </w:rPr>
        <w:footnoteReference w:id="6"/>
      </w:r>
      <w:r>
        <w:rPr>
          <w:noProof/>
        </w:rPr>
        <w:t>, le Conseil a approuvé la conclusion de l’accord de coopération dans le domaine de la science et de la technologie entre la Communauté européenne et le gouvernement de la Fédération de Russie (ci-après l’«accord»). L'accord a été signé à Bruxelles le 16 novembre 2000 et est entré en vigueur le 10 mai 2001.</w:t>
      </w:r>
    </w:p>
    <w:p>
      <w:pPr>
        <w:pStyle w:val="ManualConsidrant"/>
        <w:rPr>
          <w:noProof/>
        </w:rPr>
      </w:pPr>
      <w:r>
        <w:rPr>
          <w:noProof/>
        </w:rPr>
        <w:t>(2)</w:t>
      </w:r>
      <w:r>
        <w:rPr>
          <w:noProof/>
        </w:rPr>
        <w:tab/>
        <w:t xml:space="preserve">Conformément à son article 12, point b), l’accord – initialement conclu jusqu’au 31 décembre 2002 – est renouvelable d’un commun accord entre les parties pour des périodes supplémentaires de cinq ans. </w:t>
      </w:r>
    </w:p>
    <w:p>
      <w:pPr>
        <w:pStyle w:val="ManualConsidrant"/>
        <w:rPr>
          <w:noProof/>
        </w:rPr>
      </w:pPr>
      <w:r>
        <w:rPr>
          <w:noProof/>
        </w:rPr>
        <w:t>(3)</w:t>
      </w:r>
      <w:r>
        <w:rPr>
          <w:noProof/>
        </w:rPr>
        <w:tab/>
        <w:t>Par les décisions 2003/798/CE</w:t>
      </w:r>
      <w:r>
        <w:rPr>
          <w:rStyle w:val="FootnoteReference"/>
          <w:noProof/>
        </w:rPr>
        <w:footnoteReference w:id="7"/>
      </w:r>
      <w:r>
        <w:rPr>
          <w:noProof/>
        </w:rPr>
        <w:t>, 2009/313/CE</w:t>
      </w:r>
      <w:r>
        <w:rPr>
          <w:rStyle w:val="FootnoteReference"/>
          <w:noProof/>
        </w:rPr>
        <w:footnoteReference w:id="8"/>
      </w:r>
      <w:r>
        <w:rPr>
          <w:noProof/>
        </w:rPr>
        <w:t xml:space="preserve"> et 2014/50/UE</w:t>
      </w:r>
      <w:r>
        <w:rPr>
          <w:rStyle w:val="FootnoteReference"/>
          <w:noProof/>
        </w:rPr>
        <w:footnoteReference w:id="9"/>
      </w:r>
      <w:r>
        <w:rPr>
          <w:noProof/>
        </w:rPr>
        <w:t xml:space="preserve">, le Conseil a approuvé le renouvellement de l’accord pour une période supplémentaire de cinq ans à chaque fois. L'accord actuel doit expirer le 20 février 2019. </w:t>
      </w:r>
    </w:p>
    <w:p>
      <w:pPr>
        <w:pStyle w:val="ManualConsidrant"/>
        <w:rPr>
          <w:rFonts w:eastAsia="Times New Roman"/>
          <w:noProof/>
          <w:color w:val="000000"/>
        </w:rPr>
      </w:pPr>
      <w:r>
        <w:rPr>
          <w:noProof/>
        </w:rPr>
        <w:t>(4)</w:t>
      </w:r>
      <w:r>
        <w:rPr>
          <w:noProof/>
        </w:rPr>
        <w:tab/>
        <w:t xml:space="preserve">Les deux parties ont confirmé leur intention de renouveler l’accord pour une période supplémentaire de cinq ans sans </w:t>
      </w:r>
      <w:r>
        <w:rPr>
          <w:noProof/>
          <w:color w:val="000000"/>
        </w:rPr>
        <w:t xml:space="preserve">y apporter de modifications. </w:t>
      </w:r>
    </w:p>
    <w:p>
      <w:pPr>
        <w:pStyle w:val="ManualConsidrant"/>
        <w:rPr>
          <w:rFonts w:eastAsia="Times New Roman"/>
          <w:noProof/>
          <w:color w:val="000000"/>
        </w:rPr>
      </w:pPr>
      <w:r>
        <w:rPr>
          <w:noProof/>
        </w:rPr>
        <w:t>(5)</w:t>
      </w:r>
      <w:r>
        <w:rPr>
          <w:noProof/>
        </w:rPr>
        <w:tab/>
      </w:r>
      <w:r>
        <w:rPr>
          <w:noProof/>
          <w:color w:val="000000"/>
        </w:rPr>
        <w:t>Les activités dans le cadre du présent accord doivent respecter strictement les conditions et procédures prévues par les mesures restrictives adoptées en vertu de l’article 215 du TFUE</w:t>
      </w:r>
      <w:r>
        <w:rPr>
          <w:rStyle w:val="FootnoteReference"/>
          <w:noProof/>
        </w:rPr>
        <w:footnoteReference w:id="10"/>
      </w:r>
      <w:r>
        <w:rPr>
          <w:noProof/>
          <w:color w:val="000000"/>
        </w:rPr>
        <w:t>.</w:t>
      </w:r>
    </w:p>
    <w:p>
      <w:pPr>
        <w:pStyle w:val="ManualConsidrant"/>
        <w:rPr>
          <w:noProof/>
        </w:rPr>
      </w:pPr>
      <w:r>
        <w:rPr>
          <w:noProof/>
        </w:rPr>
        <w:t>(6)</w:t>
      </w:r>
      <w:r>
        <w:rPr>
          <w:noProof/>
        </w:rPr>
        <w:tab/>
        <w:t xml:space="preserve">Il convient d'approuver le renouvellement de l'accord au nom de l'Union européenne, </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color w:val="0000FF"/>
        </w:rPr>
      </w:pPr>
      <w:r>
        <w:rPr>
          <w:noProof/>
          <w:sz w:val="23"/>
        </w:rPr>
        <w:t>Le renouvellement de l’accord de coopération dans le domaine de la science et de la technologie entre la Communauté européenne et le gouvernement de la Fédération de Russie, pour une période supplémentaire de cinq ans, est approuvé au nom de l’Union.</w:t>
      </w:r>
    </w:p>
    <w:p>
      <w:pPr>
        <w:pStyle w:val="Titrearticle"/>
        <w:keepNext w:val="0"/>
        <w:rPr>
          <w:noProof/>
        </w:rPr>
      </w:pPr>
      <w:r>
        <w:rPr>
          <w:noProof/>
        </w:rPr>
        <w:t>Article 2</w:t>
      </w:r>
    </w:p>
    <w:p>
      <w:pPr>
        <w:rPr>
          <w:noProof/>
          <w:szCs w:val="24"/>
        </w:rPr>
      </w:pPr>
      <w:r>
        <w:rPr>
          <w:noProof/>
        </w:rPr>
        <w:t>Le président du Conseil désigne la ou les personnes habilitées à notifier au gouvernement de la Fédération de Russie, au nom de l’Union, que l'Union a accompli les procédures internes nécessaires au renouvellement de l'accord conformément à son article 12, point b).</w:t>
      </w:r>
      <w:r>
        <w:rPr>
          <w:noProof/>
          <w:sz w:val="23"/>
        </w:rPr>
        <w:t xml:space="preserve">  </w:t>
      </w:r>
    </w:p>
    <w:p>
      <w:pPr>
        <w:pStyle w:val="Titrearticle"/>
        <w:keepNext w:val="0"/>
        <w:rPr>
          <w:noProof/>
        </w:rPr>
      </w:pPr>
      <w:r>
        <w:rPr>
          <w:noProof/>
        </w:rPr>
        <w:t>Article 3</w:t>
      </w:r>
    </w:p>
    <w:p>
      <w:pPr>
        <w:rPr>
          <w:noProof/>
        </w:rPr>
      </w:pPr>
      <w:r>
        <w:rPr>
          <w:noProof/>
          <w:sz w:val="23"/>
        </w:rPr>
        <w:t>La présente décision entre en vigueur le jour de son adoption.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décision du Conseil concernant le renouvellement de l'accord de coopération dans le domaine de la science et de la technologie entre la Communauté européenne et le gouvernement de la Fédération de Russie</w:t>
      </w:r>
    </w:p>
    <w:p>
      <w:pPr>
        <w:pStyle w:val="ManualHeading2"/>
        <w:rPr>
          <w:noProof/>
          <w:szCs w:val="24"/>
        </w:rPr>
      </w:pPr>
      <w:r>
        <w:rPr>
          <w:noProof/>
        </w:rPr>
        <w:t>1.2.</w:t>
      </w:r>
      <w:r>
        <w:rPr>
          <w:noProof/>
        </w:rPr>
        <w:tab/>
        <w:t>Domaine(s) politique(s) concerné(s) dans la structure ABM/ABB</w:t>
      </w:r>
      <w:r>
        <w:rPr>
          <w:rStyle w:val="FootnoteReference"/>
          <w:noProof/>
        </w:rPr>
        <w:footnoteReference w:id="11"/>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rPr>
        <w:t>Stratégie politique et coordination, en particulier, des directions générales</w:t>
      </w:r>
      <w:r>
        <w:rPr>
          <w:rStyle w:val="FootnoteReference"/>
          <w:noProof/>
          <w:sz w:val="23"/>
        </w:rPr>
        <w:footnoteReference w:id="12"/>
      </w:r>
      <w:r>
        <w:rPr>
          <w:noProof/>
          <w:sz w:val="23"/>
        </w:rPr>
        <w:t xml:space="preserve"> RTD, AGRI, CLIMA, JRC, EAC, ENER, GROW, CNECT, MARE et MOVE.</w:t>
      </w:r>
    </w:p>
    <w:p>
      <w:pPr>
        <w:pStyle w:val="ManualHeading2"/>
        <w:rPr>
          <w:bCs/>
          <w:noProof/>
        </w:rPr>
      </w:pPr>
      <w:r>
        <w:rPr>
          <w:noProof/>
        </w:rPr>
        <w:t>1.3.</w:t>
      </w:r>
      <w:r>
        <w:rPr>
          <w:noProof/>
        </w:rPr>
        <w:tab/>
        <w:t>Nature de la proposition/de l’initiative</w:t>
      </w:r>
    </w:p>
    <w:p>
      <w:pPr>
        <w:pStyle w:val="Text1"/>
        <w:rPr>
          <w:noProof/>
        </w:rPr>
      </w:pPr>
      <w:r>
        <w:rPr>
          <w:noProof/>
          <w:sz w:val="22"/>
        </w:rPr>
        <w:sym w:font="Wingdings" w:char="F0A8"/>
      </w:r>
      <w:r>
        <w:rPr>
          <w:noProof/>
          <w:sz w:val="22"/>
        </w:rPr>
        <w:t xml:space="preserve"> </w:t>
      </w:r>
      <w:r>
        <w:rPr>
          <w:noProof/>
        </w:rPr>
        <w:t xml:space="preserve">La proposition/l’initiative porte sur </w:t>
      </w:r>
      <w:r>
        <w:rPr>
          <w:b/>
          <w:noProof/>
        </w:rPr>
        <w:t>une action nouvelle</w:t>
      </w:r>
      <w:r>
        <w:rPr>
          <w:noProof/>
        </w:rPr>
        <w:t xml:space="preserve"> </w:t>
      </w:r>
    </w:p>
    <w:p>
      <w:pPr>
        <w:pStyle w:val="Text1"/>
        <w:rPr>
          <w:b/>
          <w:noProof/>
        </w:rPr>
      </w:pPr>
      <w:r>
        <w:rPr>
          <w:noProof/>
          <w:sz w:val="22"/>
        </w:rPr>
        <w:sym w:font="Wingdings" w:char="F0A8"/>
      </w:r>
      <w:r>
        <w:rPr>
          <w:noProof/>
          <w:sz w:val="22"/>
        </w:rPr>
        <w:t xml:space="preserve"> </w:t>
      </w:r>
      <w:r>
        <w:rPr>
          <w:noProof/>
        </w:rPr>
        <w:t xml:space="preserve">La proposition/l’initiative porte sur </w:t>
      </w:r>
      <w:r>
        <w:rPr>
          <w:b/>
          <w:noProof/>
        </w:rPr>
        <w:t xml:space="preserve">une action nouvelle suite à un projet pilote/une action préparatoire  </w:t>
      </w:r>
    </w:p>
    <w:p>
      <w:pPr>
        <w:pStyle w:val="Text1"/>
        <w:rPr>
          <w:noProof/>
        </w:rPr>
      </w:pPr>
      <w:r>
        <w:rPr>
          <w:noProof/>
          <w:sz w:val="22"/>
        </w:rPr>
        <w:sym w:font="Wingdings" w:char="F0FE"/>
      </w:r>
      <w:r>
        <w:rPr>
          <w:i/>
          <w:noProof/>
          <w:sz w:val="22"/>
        </w:rPr>
        <w:t xml:space="preserve"> </w:t>
      </w:r>
      <w:r>
        <w:rPr>
          <w:noProof/>
        </w:rPr>
        <w:t xml:space="preserve">La proposition/l’initiative porte sur </w:t>
      </w:r>
      <w:r>
        <w:rPr>
          <w:b/>
          <w:noProof/>
        </w:rPr>
        <w:t>la prolongation d’une action existante</w:t>
      </w:r>
      <w:r>
        <w:rPr>
          <w:noProof/>
        </w:rPr>
        <w:t xml:space="preserve"> </w:t>
      </w:r>
    </w:p>
    <w:p>
      <w:pPr>
        <w:pStyle w:val="Text1"/>
        <w:rPr>
          <w:noProof/>
        </w:rPr>
      </w:pPr>
      <w:r>
        <w:rPr>
          <w:noProof/>
          <w:sz w:val="22"/>
        </w:rPr>
        <w:sym w:font="Wingdings" w:char="F0A8"/>
      </w:r>
      <w:r>
        <w:rPr>
          <w:noProof/>
        </w:rPr>
        <w:t xml:space="preserve">La proposition/l’initiative porte sur </w:t>
      </w:r>
      <w:r>
        <w:rPr>
          <w:b/>
          <w:noProof/>
        </w:rPr>
        <w:t>une action réorientée vers une action nouvelle</w:t>
      </w:r>
    </w:p>
    <w:p>
      <w:pPr>
        <w:pStyle w:val="ManualHeading2"/>
        <w:rPr>
          <w:bCs/>
          <w:noProof/>
          <w:szCs w:val="24"/>
        </w:rPr>
      </w:pPr>
      <w:r>
        <w:rPr>
          <w:noProof/>
        </w:rPr>
        <w:t>1.4.</w:t>
      </w:r>
      <w:r>
        <w:rPr>
          <w:noProof/>
        </w:rPr>
        <w:tab/>
        <w:t>Objectif(s)</w:t>
      </w:r>
    </w:p>
    <w:p>
      <w:pPr>
        <w:pStyle w:val="ManualHeading3"/>
        <w:rPr>
          <w:noProof/>
        </w:rPr>
      </w:pPr>
      <w:r>
        <w:rPr>
          <w:noProof/>
        </w:rPr>
        <w:t>1.4.1.</w:t>
      </w:r>
      <w:r>
        <w:rPr>
          <w:noProof/>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sz w:val="23"/>
        </w:rPr>
        <w:t>La présente initiative permettra aux deux parties d'améliorer et d'intensifier leur coopération dans des domaines scientifiques et technologiques d'intérêt commun.</w:t>
      </w:r>
    </w:p>
    <w:p>
      <w:pPr>
        <w:pStyle w:val="ManualHeading3"/>
        <w:rPr>
          <w:bCs/>
          <w:noProof/>
          <w:szCs w:val="24"/>
        </w:rPr>
      </w:pPr>
      <w:r>
        <w:rPr>
          <w:noProof/>
        </w:rPr>
        <w:t>1.4.2.</w:t>
      </w:r>
      <w:r>
        <w:rPr>
          <w:noProof/>
        </w:rPr>
        <w:tab/>
        <w:t xml:space="preserve">Objectif(s) spécifique(s) et activité(s) ABM/ABB concernée(s) </w:t>
      </w:r>
    </w:p>
    <w:p>
      <w:pPr>
        <w:pStyle w:val="Text1"/>
        <w:pBdr>
          <w:top w:val="single" w:sz="4" w:space="1" w:color="auto"/>
          <w:left w:val="single" w:sz="4" w:space="4" w:color="auto"/>
          <w:bottom w:val="single" w:sz="4" w:space="1" w:color="auto"/>
          <w:right w:val="single" w:sz="4" w:space="3" w:color="auto"/>
        </w:pBdr>
        <w:rPr>
          <w:noProof/>
          <w:u w:val="single"/>
        </w:rPr>
      </w:pPr>
      <w:r>
        <w:rPr>
          <w:noProof/>
          <w:u w:val="single"/>
        </w:rPr>
        <w:t>Objectif spécifique nº 4.1</w:t>
      </w:r>
    </w:p>
    <w:p>
      <w:pPr>
        <w:pStyle w:val="Text1"/>
        <w:pBdr>
          <w:top w:val="single" w:sz="4" w:space="1" w:color="auto"/>
          <w:left w:val="single" w:sz="4" w:space="4" w:color="auto"/>
          <w:bottom w:val="single" w:sz="4" w:space="1" w:color="auto"/>
          <w:right w:val="single" w:sz="4" w:space="3" w:color="auto"/>
        </w:pBdr>
        <w:rPr>
          <w:noProof/>
          <w:szCs w:val="24"/>
        </w:rPr>
      </w:pPr>
      <w:r>
        <w:rPr>
          <w:noProof/>
        </w:rPr>
        <w:t>La présente décision devrait permettre aux deux parties de renforcer la coopération et de mettre en place un partenariat plus stratégique en augmentant l’ampleur et la portée de la coopération existante, en relevant des défis d'envergure mondiale et en promouvant l’accès réciproque aux programmes et au financement.</w:t>
      </w:r>
      <w:r>
        <w:rPr>
          <w:noProof/>
          <w:sz w:val="23"/>
        </w:rPr>
        <w:t xml:space="preserve"> </w:t>
      </w:r>
    </w:p>
    <w:p>
      <w:pPr>
        <w:pStyle w:val="Text1"/>
        <w:pBdr>
          <w:top w:val="single" w:sz="4" w:space="1" w:color="auto"/>
          <w:left w:val="single" w:sz="4" w:space="4" w:color="auto"/>
          <w:bottom w:val="single" w:sz="4" w:space="1" w:color="auto"/>
          <w:right w:val="single" w:sz="4" w:space="3"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3" w:color="auto"/>
        </w:pBdr>
        <w:rPr>
          <w:noProof/>
        </w:rPr>
      </w:pPr>
    </w:p>
    <w:p>
      <w:pPr>
        <w:pStyle w:val="ManualHeading3"/>
        <w:rPr>
          <w:bCs/>
          <w:noProof/>
          <w:szCs w:val="24"/>
        </w:rPr>
      </w:pPr>
      <w:r>
        <w:rPr>
          <w:noProof/>
        </w:rPr>
        <w:br w:type="page"/>
        <w:t>1.4.3.</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szCs w:val="24"/>
        </w:rPr>
      </w:pPr>
      <w:r>
        <w:rPr>
          <w:noProof/>
        </w:rPr>
        <w:t>La présente décision permettra aussi bien à l’Union qu’à la Russie de tirer mutuellement profit des progrès scientifiques et techniques réalisés grâce à leurs activités de coopération en cours. Elle permettra un échange de connaissances spécifiques et un transfert de savoir-faire au bénéfice de la communauté scientifique, des entreprises et des citoyens des deux parties.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1.4.4.</w:t>
      </w:r>
      <w:r>
        <w:rPr>
          <w:noProof/>
        </w:rPr>
        <w:tab/>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szCs w:val="24"/>
        </w:rPr>
      </w:pPr>
      <w:r>
        <w:rPr>
          <w:noProof/>
        </w:rPr>
        <w:t>La Commission contrôlera régulièrement toutes les actions menées dans le cadre de l’accord, y compris les activités de coopération. Cette évaluation portera, entre autres, sur les points suivants:</w:t>
      </w:r>
    </w:p>
    <w:p>
      <w:pPr>
        <w:pStyle w:val="Text1"/>
        <w:pBdr>
          <w:top w:val="single" w:sz="4" w:space="1" w:color="auto"/>
          <w:left w:val="single" w:sz="4" w:space="4" w:color="auto"/>
          <w:bottom w:val="single" w:sz="4" w:space="1" w:color="auto"/>
          <w:right w:val="single" w:sz="4" w:space="4" w:color="auto"/>
        </w:pBdr>
        <w:rPr>
          <w:noProof/>
          <w:szCs w:val="24"/>
        </w:rPr>
      </w:pPr>
      <w:r>
        <w:rPr>
          <w:noProof/>
        </w:rPr>
        <w:t>a) les indicateurs de la coopération — analyse du nombre et du type de participations d’entités russes à des programmes financés par l’UE (par exemple, le nombre de propositions, le nombre de conventions de subvention signées, les principaux liens de collaboration, les principaux domaines, les réalisations) et inversement (lorsque les données sont disponibles);</w:t>
      </w:r>
    </w:p>
    <w:p>
      <w:pPr>
        <w:pStyle w:val="Text1"/>
        <w:pBdr>
          <w:top w:val="single" w:sz="4" w:space="1" w:color="auto"/>
          <w:left w:val="single" w:sz="4" w:space="4" w:color="auto"/>
          <w:bottom w:val="single" w:sz="4" w:space="1" w:color="auto"/>
          <w:right w:val="single" w:sz="4" w:space="4" w:color="auto"/>
        </w:pBdr>
        <w:rPr>
          <w:noProof/>
          <w:szCs w:val="24"/>
        </w:rPr>
      </w:pPr>
      <w:r>
        <w:rPr>
          <w:noProof/>
        </w:rPr>
        <w:t>b) les indicateurs de performance — taux de réussite des entités russes qui participent aux programmes-cadres de l’UE par rapport à d’autres pays tiers et aux États membres/pays associés à un programme cadre de recherche; analyse de la qualité de la participation (par exemple, le nombre d’universités les mieux classées participant au programme, le nombre de brevets et de publications provenant de projets collaboratifs);</w:t>
      </w:r>
    </w:p>
    <w:p>
      <w:pPr>
        <w:pStyle w:val="Text1"/>
        <w:pBdr>
          <w:top w:val="single" w:sz="4" w:space="1" w:color="auto"/>
          <w:left w:val="single" w:sz="4" w:space="4" w:color="auto"/>
          <w:bottom w:val="single" w:sz="4" w:space="1" w:color="auto"/>
          <w:right w:val="single" w:sz="4" w:space="4" w:color="auto"/>
        </w:pBdr>
        <w:rPr>
          <w:noProof/>
          <w:szCs w:val="24"/>
        </w:rPr>
      </w:pPr>
      <w:r>
        <w:rPr>
          <w:noProof/>
        </w:rPr>
        <w:t>c) la collecte de données concernant les activités et les liens de coopération allant au-delà des programmes de financement de la recherche respectifs, ainsi que l’évaluation de l’impact de ces activités, telles que la participation à des initiatives multilatérales et des groupes de travail.</w:t>
      </w:r>
    </w:p>
    <w:p>
      <w:pPr>
        <w:pStyle w:val="ManualHeading2"/>
        <w:rPr>
          <w:bCs/>
          <w:noProof/>
          <w:szCs w:val="24"/>
        </w:rPr>
      </w:pPr>
      <w:r>
        <w:rPr>
          <w:noProof/>
        </w:rPr>
        <w:t>1.5.</w:t>
      </w:r>
      <w:r>
        <w:rPr>
          <w:noProof/>
        </w:rPr>
        <w:tab/>
        <w:t xml:space="preserve">Justification(s) de la proposition/de l’initiative </w:t>
      </w:r>
    </w:p>
    <w:p>
      <w:pPr>
        <w:pStyle w:val="ManualHeading3"/>
        <w:rPr>
          <w:noProof/>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szCs w:val="24"/>
        </w:rPr>
      </w:pPr>
      <w:r>
        <w:rPr>
          <w:noProof/>
        </w:rPr>
        <w:t>La présente décision permettra aux deux parties de poursuivre l'amélioration et l'intensification de leur coopération dans des domaines scientifiques et technologiques d'intérêt mutuel.</w:t>
      </w:r>
    </w:p>
    <w:p>
      <w:pPr>
        <w:pStyle w:val="ManualHeading3"/>
        <w:rPr>
          <w:bCs/>
          <w:noProof/>
          <w:szCs w:val="24"/>
        </w:rPr>
      </w:pPr>
      <w:r>
        <w:rPr>
          <w:noProof/>
        </w:rPr>
        <w:t>1.5.2.</w:t>
      </w:r>
      <w:r>
        <w:rPr>
          <w:noProof/>
        </w:rPr>
        <w:tab/>
        <w:t>Valeur ajoutée de l’intervention de l’UE</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La coopération en matière de recherche et d’innovation entre l’UE et la Fédération de Russie n’a cessé de croître au cours des dernières années. L’intervention de l’UE permet des activités dont l’ampleur et la portée sont plus grandes, au bénéfice de tous les États membres. Le renouvellement de cet accord permettra à l’UE d’avoir un accès plus aisé aux connaissances scientifiques produites en Fédération de Russie et de s’engager dans un plus grand nombre d’activités de coopération, ce qui augmentera l’échange de connaissances et de technologies. </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szCs w:val="24"/>
        </w:rPr>
      </w:pPr>
      <w:r>
        <w:rPr>
          <w:noProof/>
        </w:rPr>
        <w:t>Sur la base de l’expérience acquise jusqu’à présent en matière de coopération scientifique et technologique, il est jugé souhaitable pour les deux parties de poursuivre la coopération en matière de recherche avec la Fédération de Russie, qui est un partenaire stratégique de l’UE dans le domaine de la recherche et de l’innovation.</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Le renouvellement de l’accord avec la Fédération de Russie est considéré comme pleinement compatible avec le cadre stratégique global de coopération internationale dans la recherche et l’innovation [COM(2012)497]. </w:t>
      </w:r>
    </w:p>
    <w:p>
      <w:pPr>
        <w:pStyle w:val="ManualHeading2"/>
        <w:rPr>
          <w:bCs/>
          <w:noProof/>
          <w:szCs w:val="24"/>
        </w:rPr>
      </w:pPr>
      <w:r>
        <w:rPr>
          <w:noProof/>
        </w:rPr>
        <w:br w:type="page"/>
        <w:t>1.6.</w:t>
      </w:r>
      <w:r>
        <w:rPr>
          <w:noProof/>
        </w:rPr>
        <w:tab/>
        <w:t xml:space="preserve">Durée et incidence financière </w:t>
      </w:r>
    </w:p>
    <w:p>
      <w:pPr>
        <w:pStyle w:val="Text1"/>
        <w:rPr>
          <w:noProof/>
        </w:rPr>
      </w:pPr>
      <w:r>
        <w:rPr>
          <w:noProof/>
        </w:rPr>
        <w:sym w:font="Wingdings" w:char="F0FE"/>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FE"/>
      </w:r>
      <w:r>
        <w:rPr>
          <w:noProof/>
        </w:rPr>
        <w:tab/>
        <w:t>Proposition/initiative en vigueur du 20/02/2019 au 19/02/2024</w:t>
      </w:r>
    </w:p>
    <w:p>
      <w:pPr>
        <w:pStyle w:val="ListDash2"/>
        <w:rPr>
          <w:noProof/>
        </w:rPr>
      </w:pPr>
      <w:r>
        <w:rPr>
          <w:noProof/>
        </w:rPr>
        <w:sym w:font="Wingdings" w:char="F0FE"/>
      </w:r>
      <w:r>
        <w:rPr>
          <w:noProof/>
        </w:rPr>
        <w:tab/>
        <w:t>Incidence financière du 20/02/2019 jusqu’au 19/02/2024</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à AAAA,</w:t>
      </w:r>
    </w:p>
    <w:p>
      <w:pPr>
        <w:pStyle w:val="ListDash1"/>
        <w:rPr>
          <w:noProof/>
        </w:rPr>
      </w:pPr>
      <w:r>
        <w:rPr>
          <w:noProof/>
        </w:rPr>
        <w:t>puis un fonctionnement en rythme de croisière au-delà.</w:t>
      </w:r>
    </w:p>
    <w:p>
      <w:pPr>
        <w:pStyle w:val="ManualHeading2"/>
        <w:rPr>
          <w:bCs/>
          <w:noProof/>
          <w:szCs w:val="24"/>
        </w:rPr>
      </w:pPr>
      <w:r>
        <w:rPr>
          <w:noProof/>
        </w:rPr>
        <w:t>1.7.</w:t>
      </w:r>
      <w:r>
        <w:rPr>
          <w:noProof/>
        </w:rPr>
        <w:tab/>
        <w:t>Mode(s) de gestion prévu(s)</w:t>
      </w:r>
      <w:r>
        <w:rPr>
          <w:rStyle w:val="FootnoteReference"/>
          <w:noProof/>
        </w:rPr>
        <w:footnoteReference w:id="13"/>
      </w:r>
      <w:r>
        <w:rPr>
          <w:rStyle w:val="FootnoteReference"/>
          <w:noProof/>
        </w:rPr>
        <w:t xml:space="preserve"> </w:t>
      </w:r>
    </w:p>
    <w:p>
      <w:pPr>
        <w:pStyle w:val="Text1"/>
        <w:rPr>
          <w:noProof/>
        </w:rPr>
      </w:pPr>
      <w:r>
        <w:rPr>
          <w:noProof/>
        </w:rPr>
        <w:sym w:font="Wingdings" w:char="F0FE"/>
      </w:r>
      <w:r>
        <w:rPr>
          <w:i/>
          <w:noProof/>
        </w:rPr>
        <w:t xml:space="preserve"> </w:t>
      </w:r>
      <w:r>
        <w:rPr>
          <w:b/>
          <w:noProof/>
        </w:rPr>
        <w:t xml:space="preserve">Gestion directe </w:t>
      </w:r>
      <w:r>
        <w:rPr>
          <w:noProof/>
        </w:rPr>
        <w:t>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La participation d’entités de recherche russes au programme-cadre de recherche et d'innovation et à d’autres activités de coopération au titre de l’accord fera l’objet d’un suivi régulier dans le cadre de réunions du comité conjoint créé en vertu de l’article 6, point a), de l’accord.</w:t>
      </w:r>
    </w:p>
    <w:p>
      <w:pPr>
        <w:pStyle w:val="ManualHeading2"/>
        <w:rPr>
          <w:bCs/>
          <w:noProof/>
          <w:szCs w:val="24"/>
        </w:rPr>
      </w:pPr>
      <w:r>
        <w:rPr>
          <w:noProof/>
        </w:rPr>
        <w:t>2.2.</w:t>
      </w:r>
      <w:r>
        <w:rPr>
          <w:noProof/>
        </w:rPr>
        <w:tab/>
        <w:t xml:space="preserve">Système de gestion et de contrôle </w:t>
      </w:r>
    </w:p>
    <w:p>
      <w:pPr>
        <w:pStyle w:val="ManualHeading3"/>
        <w:rPr>
          <w:noProof/>
        </w:rPr>
      </w:pPr>
      <w:r>
        <w:rPr>
          <w:noProof/>
        </w:rPr>
        <w:t>2.2.1.</w:t>
      </w:r>
      <w:r>
        <w:rPr>
          <w:noProof/>
        </w:rPr>
        <w:tab/>
        <w:t xml:space="preserve">Risque(s) identifié(s) </w:t>
      </w:r>
    </w:p>
    <w:p>
      <w:pPr>
        <w:pStyle w:val="Text1"/>
        <w:pBdr>
          <w:top w:val="single" w:sz="4" w:space="1" w:color="auto"/>
          <w:left w:val="single" w:sz="4" w:space="4" w:color="auto"/>
          <w:bottom w:val="single" w:sz="4" w:space="1" w:color="auto"/>
          <w:right w:val="single" w:sz="4" w:space="4" w:color="auto"/>
        </w:pBdr>
        <w:rPr>
          <w:noProof/>
          <w:szCs w:val="24"/>
        </w:rPr>
      </w:pPr>
      <w:r>
        <w:rPr>
          <w:noProof/>
        </w:rPr>
        <w:t>Des réunions sont organisées et des contacts bilatéraux ont lieu à intervalles réguliers, ce qui permet un partage d’informations et un contrôle systématiques. Aucun risque n'a été décelé dans le cadre du système de contrôle.</w:t>
      </w:r>
    </w:p>
    <w:p>
      <w:pPr>
        <w:pStyle w:val="ManualHeading3"/>
        <w:rPr>
          <w:bCs/>
          <w:noProof/>
          <w:szCs w:val="24"/>
        </w:rPr>
      </w:pPr>
      <w:r>
        <w:rPr>
          <w:noProof/>
        </w:rPr>
        <w:t>2.2.2.</w:t>
      </w:r>
      <w:r>
        <w:rPr>
          <w:noProof/>
        </w:rPr>
        <w:tab/>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rPr>
          <w:noProof/>
        </w:rPr>
        <w:t>2.2.3.</w:t>
      </w:r>
      <w:r>
        <w:rPr>
          <w:noProof/>
        </w:rPr>
        <w:tab/>
        <w:t xml:space="preserve">Estimation du coût et des avantages des contrôles et évaluation du niveau de risque d’erreur attendu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szCs w:val="24"/>
        </w:rPr>
      </w:pPr>
      <w:r>
        <w:rPr>
          <w:noProof/>
        </w:rPr>
        <w:t>Lorsque la mise en œuvre du programme-cadre nécessitera le recours à des contractants externes ou impliquera l’octroi d'un concours financier à des tiers, la Commission effectuera, au besoin, des audits financiers, en particulier lorsqu’elle aura des raisons de douter du caractère réaliste des travaux exécutés ou décrits dans les rapports d’activité.</w:t>
      </w:r>
    </w:p>
    <w:p>
      <w:pPr>
        <w:pStyle w:val="Text1"/>
        <w:pBdr>
          <w:top w:val="single" w:sz="4" w:space="1" w:color="auto"/>
          <w:left w:val="single" w:sz="4" w:space="4" w:color="auto"/>
          <w:bottom w:val="single" w:sz="4" w:space="1" w:color="auto"/>
          <w:right w:val="single" w:sz="4" w:space="4" w:color="auto"/>
        </w:pBdr>
        <w:rPr>
          <w:noProof/>
          <w:szCs w:val="24"/>
        </w:rPr>
      </w:pPr>
      <w:r>
        <w:rPr>
          <w:noProof/>
        </w:rPr>
        <w:t>Les audits financiers de l'Union seront effectués soit par son propre personnel, soit par des experts comptables agréés conformément à la législation de la partie soumise à l'audit. L’Union choisira ces derniers librement, en évitant tout risque de conflit d’intérêts que pourrait lui signaler la partie soumise à l’audit. En outre, la Commission s’assurera, dans la mise en œuvre des activités de recherche, que les intérêts financiers de l’Union sont protégés par des vérifications efficaces et, si des irrégularités sont décelées, par des mesures et des sanctions dissuasives et proportionnées.</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Afin d'atteindre cet objectif, des règles relatives aux contrôles, mesures et sanctions, par application des règlements (CE, Euratom) nº 2988/95, (Euratom, CE) nº 2185/96 et (UE, Euratom) n° 883/2013, seront inscrites dans tous les contrats passés aux fins de la mise en œuvre du programme-cadre. </w:t>
      </w:r>
    </w:p>
    <w:p>
      <w:pPr>
        <w:pStyle w:val="Text1"/>
        <w:pBdr>
          <w:top w:val="single" w:sz="4" w:space="1" w:color="auto"/>
          <w:left w:val="single" w:sz="4" w:space="4" w:color="auto"/>
          <w:bottom w:val="single" w:sz="4" w:space="1" w:color="auto"/>
          <w:right w:val="single" w:sz="4" w:space="4" w:color="auto"/>
        </w:pBdr>
        <w:rPr>
          <w:noProof/>
          <w:szCs w:val="24"/>
        </w:rPr>
      </w:pPr>
      <w:r>
        <w:rPr>
          <w:noProof/>
        </w:rPr>
        <w:t>En particulier, les points suivants devront être prévus dans les contrats:</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 l’introduction de clauses particulières dans les contrats, visant à protéger les intérêts financiers de l’UE par l’exécution de vérifications et de contrôles en relation avec les travaux effectués; </w:t>
      </w:r>
    </w:p>
    <w:p>
      <w:pPr>
        <w:pStyle w:val="Text1"/>
        <w:pBdr>
          <w:top w:val="single" w:sz="4" w:space="1" w:color="auto"/>
          <w:left w:val="single" w:sz="4" w:space="4" w:color="auto"/>
          <w:bottom w:val="single" w:sz="4" w:space="1" w:color="auto"/>
          <w:right w:val="single" w:sz="4" w:space="4" w:color="auto"/>
        </w:pBdr>
        <w:rPr>
          <w:noProof/>
          <w:szCs w:val="24"/>
        </w:rPr>
      </w:pPr>
      <w:r>
        <w:rPr>
          <w:noProof/>
        </w:rPr>
        <w:t>- la mise en œuvre de contrôles administratifs dans le domaine de la lutte antifraude, conformément aux règlements (Euratom, CE) nº 2185/96, (CE) nº 1073/1999 et (Euratom) nº 1074/1999;</w:t>
      </w:r>
    </w:p>
    <w:p>
      <w:pPr>
        <w:pStyle w:val="Text1"/>
        <w:pBdr>
          <w:top w:val="single" w:sz="4" w:space="1" w:color="auto"/>
          <w:left w:val="single" w:sz="4" w:space="4" w:color="auto"/>
          <w:bottom w:val="single" w:sz="4" w:space="1" w:color="auto"/>
          <w:right w:val="single" w:sz="4" w:space="4" w:color="auto"/>
        </w:pBdr>
        <w:rPr>
          <w:noProof/>
          <w:szCs w:val="24"/>
        </w:rPr>
      </w:pPr>
      <w:r>
        <w:rPr>
          <w:noProof/>
          <w:sz w:val="23"/>
        </w:rPr>
        <w:t xml:space="preserve">- </w:t>
      </w:r>
      <w:r>
        <w:rPr>
          <w:noProof/>
        </w:rPr>
        <w:t>l’application de sanctions administratives pour toutes les irrégularités, volontaires ou dues à la négligence, dans l’exécution des contrats, conformément au règlement général (CE, Euratom) nº 2988/95, y compris l’établissement d’une liste noire;</w:t>
      </w:r>
    </w:p>
    <w:p>
      <w:pPr>
        <w:pStyle w:val="Text1"/>
        <w:pBdr>
          <w:top w:val="single" w:sz="4" w:space="1" w:color="auto"/>
          <w:left w:val="single" w:sz="4" w:space="4" w:color="auto"/>
          <w:bottom w:val="single" w:sz="4" w:space="1" w:color="auto"/>
          <w:right w:val="single" w:sz="4" w:space="4" w:color="auto"/>
        </w:pBdr>
        <w:rPr>
          <w:noProof/>
          <w:szCs w:val="24"/>
        </w:rPr>
      </w:pPr>
      <w:r>
        <w:rPr>
          <w:noProof/>
        </w:rPr>
        <w:t>- l’obligation selon laquelle tout ordre de recouvrement en cas d’irrégularités et de fraude doit faire l’objet d’une exécution forcée conformément à l’article 299 du traité sur le fonctionnement de l’Union européenne.</w:t>
      </w:r>
    </w:p>
    <w:p>
      <w:pPr>
        <w:pStyle w:val="Text1"/>
        <w:pBdr>
          <w:top w:val="single" w:sz="4" w:space="1" w:color="auto"/>
          <w:left w:val="single" w:sz="4" w:space="4" w:color="auto"/>
          <w:bottom w:val="single" w:sz="4" w:space="1" w:color="auto"/>
          <w:right w:val="single" w:sz="4" w:space="4" w:color="auto"/>
        </w:pBdr>
        <w:rPr>
          <w:noProof/>
          <w:szCs w:val="24"/>
        </w:rPr>
      </w:pPr>
      <w:r>
        <w:rPr>
          <w:noProof/>
        </w:rPr>
        <w:t>De plus, et comme mesure de routine, un programme de contrôles portant sur les aspects scientifiques et budgétaires de la coopération sera mis en œuvre par le personnel compétent de la direction générale de la recherche et de l'innovation (DG RTD). Un audit interne sera par ailleurs réalisé par l’unité «audit interne» de la DG RTD, et des inspections locales seront assurées par la Cour des comptes européenne.</w:t>
      </w:r>
    </w:p>
    <w:p>
      <w:pPr>
        <w:pStyle w:val="Text1"/>
        <w:pBdr>
          <w:top w:val="single" w:sz="4" w:space="1" w:color="auto"/>
          <w:left w:val="single" w:sz="4" w:space="0"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INCIDENCE FINANCIÈRE ESTIMÉE DE LA PROPOSITION/DE L’INITIATIVE </w:t>
      </w:r>
    </w:p>
    <w:p>
      <w:pPr>
        <w:pStyle w:val="ManualHeading2"/>
        <w:rPr>
          <w:noProof/>
        </w:rPr>
      </w:pPr>
      <w:r>
        <w:rPr>
          <w:noProof/>
        </w:rPr>
        <w:t>3.1.</w:t>
      </w:r>
      <w:r>
        <w:rPr>
          <w:noProof/>
        </w:rPr>
        <w:tab/>
        <w:t xml:space="preserve">Rubrique(s) du cadre financier pluriannuel et ligne(s) budgétaire(s) de dépenses concernée(s) </w:t>
      </w:r>
    </w:p>
    <w:p>
      <w:pPr>
        <w:pStyle w:val="ListBullet1"/>
        <w:rPr>
          <w:noProof/>
        </w:rPr>
      </w:pPr>
      <w:r>
        <w:rPr>
          <w:noProof/>
        </w:rPr>
        <w:t>Lignes budgétaires existantes</w:t>
      </w:r>
      <w:r>
        <w:rPr>
          <w:rStyle w:val="FootnoteReference"/>
          <w:noProof/>
        </w:rPr>
        <w:footnoteReference w:id="14"/>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 </w:t>
            </w:r>
            <w:r>
              <w:rPr>
                <w:noProof/>
                <w:sz w:val="22"/>
              </w:rPr>
              <w:br/>
            </w:r>
            <w:r>
              <w:rPr>
                <w:noProof/>
                <w:sz w:val="20"/>
              </w:rPr>
              <w:t>Rubrique 1a - Compétitivité pour la croissance et l’emploi</w:t>
            </w:r>
          </w:p>
        </w:tc>
        <w:tc>
          <w:tcPr>
            <w:tcW w:w="1080" w:type="dxa"/>
            <w:vAlign w:val="center"/>
          </w:tcPr>
          <w:p>
            <w:pPr>
              <w:jc w:val="center"/>
              <w:rPr>
                <w:noProof/>
                <w:sz w:val="22"/>
              </w:rPr>
            </w:pPr>
            <w:r>
              <w:rPr>
                <w:noProof/>
                <w:sz w:val="18"/>
              </w:rPr>
              <w:t>CD/CND</w:t>
            </w:r>
            <w:r>
              <w:rPr>
                <w:rStyle w:val="FootnoteReference"/>
                <w:noProof/>
                <w:sz w:val="18"/>
              </w:rPr>
              <w:footnoteReference w:id="15"/>
            </w:r>
          </w:p>
        </w:tc>
        <w:tc>
          <w:tcPr>
            <w:tcW w:w="956" w:type="dxa"/>
            <w:vAlign w:val="center"/>
          </w:tcPr>
          <w:p>
            <w:pPr>
              <w:jc w:val="center"/>
              <w:rPr>
                <w:noProof/>
                <w:sz w:val="22"/>
              </w:rPr>
            </w:pPr>
            <w:r>
              <w:rPr>
                <w:noProof/>
                <w:sz w:val="18"/>
              </w:rPr>
              <w:t>de pays AELE</w:t>
            </w:r>
            <w:r>
              <w:rPr>
                <w:rStyle w:val="FootnoteReference"/>
                <w:noProof/>
                <w:sz w:val="18"/>
              </w:rPr>
              <w:footnoteReference w:id="16"/>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sz w:val="18"/>
              </w:rPr>
              <w:footnoteReference w:id="17"/>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r>
              <w:rPr>
                <w:noProof/>
                <w:sz w:val="20"/>
              </w:rPr>
              <w:t>1a</w:t>
            </w:r>
          </w:p>
        </w:tc>
        <w:tc>
          <w:tcPr>
            <w:tcW w:w="3960" w:type="dxa"/>
            <w:vAlign w:val="center"/>
          </w:tcPr>
          <w:p>
            <w:pPr>
              <w:spacing w:before="60"/>
              <w:jc w:val="center"/>
              <w:rPr>
                <w:b/>
                <w:noProof/>
                <w:sz w:val="22"/>
              </w:rPr>
            </w:pPr>
            <w:r>
              <w:rPr>
                <w:b/>
                <w:noProof/>
                <w:sz w:val="22"/>
              </w:rPr>
              <w:t>08.01.05.01</w:t>
            </w:r>
          </w:p>
        </w:tc>
        <w:tc>
          <w:tcPr>
            <w:tcW w:w="1080" w:type="dxa"/>
            <w:vAlign w:val="center"/>
          </w:tcPr>
          <w:p>
            <w:pPr>
              <w:jc w:val="center"/>
              <w:rPr>
                <w:noProof/>
                <w:color w:val="0000FF"/>
                <w:sz w:val="22"/>
              </w:rPr>
            </w:pPr>
            <w:r>
              <w:rPr>
                <w:noProof/>
                <w:sz w:val="22"/>
              </w:rPr>
              <w:t>CND</w:t>
            </w:r>
          </w:p>
        </w:tc>
        <w:tc>
          <w:tcPr>
            <w:tcW w:w="956" w:type="dxa"/>
            <w:vAlign w:val="center"/>
          </w:tcPr>
          <w:p>
            <w:pPr>
              <w:jc w:val="center"/>
              <w:rPr>
                <w:noProof/>
                <w:sz w:val="22"/>
              </w:rPr>
            </w:pPr>
            <w:r>
              <w:rPr>
                <w:noProof/>
                <w:sz w:val="22"/>
              </w:rPr>
              <w:t>OUI</w:t>
            </w:r>
          </w:p>
        </w:tc>
        <w:tc>
          <w:tcPr>
            <w:tcW w:w="1080" w:type="dxa"/>
            <w:vAlign w:val="center"/>
          </w:tcPr>
          <w:p>
            <w:pPr>
              <w:jc w:val="center"/>
              <w:rPr>
                <w:noProof/>
                <w:sz w:val="22"/>
              </w:rPr>
            </w:pPr>
            <w:r>
              <w:rPr>
                <w:noProof/>
                <w:sz w:val="22"/>
              </w:rPr>
              <w:t>OUI</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color w:val="0000FF"/>
                <w:sz w:val="22"/>
              </w:rPr>
            </w:pPr>
            <w:r>
              <w:rPr>
                <w:noProof/>
                <w:sz w:val="20"/>
              </w:rPr>
              <w:t>1a</w:t>
            </w:r>
          </w:p>
        </w:tc>
        <w:tc>
          <w:tcPr>
            <w:tcW w:w="3960" w:type="dxa"/>
            <w:vAlign w:val="center"/>
          </w:tcPr>
          <w:p>
            <w:pPr>
              <w:spacing w:before="60"/>
              <w:jc w:val="center"/>
              <w:rPr>
                <w:b/>
                <w:noProof/>
                <w:sz w:val="22"/>
              </w:rPr>
            </w:pPr>
            <w:r>
              <w:rPr>
                <w:b/>
                <w:noProof/>
                <w:sz w:val="22"/>
              </w:rPr>
              <w:t>08.01.05.03</w:t>
            </w:r>
          </w:p>
        </w:tc>
        <w:tc>
          <w:tcPr>
            <w:tcW w:w="1080" w:type="dxa"/>
            <w:vAlign w:val="center"/>
          </w:tcPr>
          <w:p>
            <w:pPr>
              <w:jc w:val="center"/>
              <w:rPr>
                <w:noProof/>
                <w:color w:val="0000FF"/>
                <w:sz w:val="22"/>
              </w:rPr>
            </w:pPr>
            <w:r>
              <w:rPr>
                <w:noProof/>
                <w:sz w:val="22"/>
              </w:rPr>
              <w:t>CND</w:t>
            </w:r>
          </w:p>
        </w:tc>
        <w:tc>
          <w:tcPr>
            <w:tcW w:w="956" w:type="dxa"/>
            <w:vAlign w:val="center"/>
          </w:tcPr>
          <w:p>
            <w:pPr>
              <w:jc w:val="center"/>
              <w:rPr>
                <w:noProof/>
                <w:sz w:val="22"/>
              </w:rPr>
            </w:pPr>
            <w:r>
              <w:rPr>
                <w:noProof/>
                <w:sz w:val="22"/>
              </w:rPr>
              <w:t>OUI</w:t>
            </w:r>
          </w:p>
        </w:tc>
        <w:tc>
          <w:tcPr>
            <w:tcW w:w="1080" w:type="dxa"/>
            <w:vAlign w:val="center"/>
          </w:tcPr>
          <w:p>
            <w:pPr>
              <w:jc w:val="center"/>
              <w:rPr>
                <w:noProof/>
                <w:sz w:val="22"/>
              </w:rPr>
            </w:pPr>
            <w:r>
              <w:rPr>
                <w:noProof/>
                <w:sz w:val="22"/>
              </w:rPr>
              <w:t>OUI</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sz w:val="22"/>
              </w:rPr>
              <w:br/>
            </w:r>
            <w:r>
              <w:rPr>
                <w:noProof/>
                <w:sz w:val="20"/>
              </w:rPr>
              <w:t>[Libellé………………………………………]</w:t>
            </w:r>
          </w:p>
        </w:tc>
        <w:tc>
          <w:tcPr>
            <w:tcW w:w="1080" w:type="dxa"/>
            <w:vAlign w:val="center"/>
          </w:tcPr>
          <w:p>
            <w:pPr>
              <w:jc w:val="center"/>
              <w:rPr>
                <w:noProof/>
                <w:sz w:val="22"/>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 YY YY 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Incidence estimée sur les dépenses </w:t>
      </w:r>
    </w:p>
    <w:p>
      <w:pPr>
        <w:pStyle w:val="ManualHeading3"/>
        <w:rPr>
          <w:noProof/>
          <w:u w:val="single"/>
        </w:rPr>
      </w:pPr>
      <w:r>
        <w:rPr>
          <w:noProof/>
        </w:rPr>
        <w:t>3.2.1.</w:t>
      </w:r>
      <w:r>
        <w:rPr>
          <w:noProof/>
        </w:rPr>
        <w:tab/>
        <w:t xml:space="preserve">Synthèse de l’incidence estimée sur les dépenses </w:t>
      </w:r>
    </w:p>
    <w:p>
      <w:pPr>
        <w:jc w:val="center"/>
        <w:rPr>
          <w:noProof/>
          <w:sz w:val="20"/>
        </w:rPr>
      </w:pPr>
      <w:r>
        <w:rPr>
          <w:noProof/>
          <w:sz w:val="20"/>
        </w:rPr>
        <w:t>En Mio EUR (à la 3</w:t>
      </w:r>
      <w:r>
        <w:rPr>
          <w:noProof/>
          <w:sz w:val="20"/>
          <w:vertAlign w:val="superscript"/>
        </w:rPr>
        <w:t>e</w:t>
      </w:r>
      <w:r>
        <w:rPr>
          <w:noProof/>
          <w:sz w:val="20"/>
        </w:rPr>
        <w:t xml:space="preserve"> décimale)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1"/>
        <w:gridCol w:w="1080"/>
        <w:gridCol w:w="7104"/>
      </w:tblGrid>
      <w:tr>
        <w:tc>
          <w:tcPr>
            <w:tcW w:w="4291" w:type="dxa"/>
            <w:shd w:val="thinDiagStripe" w:color="C0C0C0" w:fill="auto"/>
            <w:vAlign w:val="center"/>
          </w:tcPr>
          <w:p>
            <w:pPr>
              <w:spacing w:before="60" w:after="60"/>
              <w:jc w:val="center"/>
              <w:rPr>
                <w:b/>
                <w:noProof/>
                <w:sz w:val="22"/>
              </w:rPr>
            </w:pPr>
            <w:r>
              <w:rPr>
                <w:b/>
                <w:noProof/>
                <w:sz w:val="22"/>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sz w:val="22"/>
              </w:rPr>
            </w:pPr>
            <w:r>
              <w:rPr>
                <w:noProof/>
                <w:sz w:val="22"/>
              </w:rPr>
              <w:t>1a</w:t>
            </w:r>
          </w:p>
        </w:tc>
        <w:tc>
          <w:tcPr>
            <w:tcW w:w="7104" w:type="dxa"/>
            <w:vAlign w:val="center"/>
          </w:tcPr>
          <w:p>
            <w:pPr>
              <w:spacing w:before="60" w:after="60"/>
              <w:rPr>
                <w:noProof/>
                <w:sz w:val="22"/>
              </w:rPr>
            </w:pPr>
            <w:r>
              <w:rPr>
                <w:noProof/>
              </w:rPr>
              <w:t xml:space="preserve">«Compétitivité pour la croissance et l’emploi» </w:t>
            </w:r>
          </w:p>
        </w:tc>
      </w:tr>
    </w:tbl>
    <w:p>
      <w:pPr>
        <w:rPr>
          <w:noProof/>
          <w:sz w:val="16"/>
        </w:rPr>
      </w:pPr>
    </w:p>
    <w:tbl>
      <w:tblPr>
        <w:tblW w:w="12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794"/>
        <w:gridCol w:w="960"/>
        <w:gridCol w:w="1200"/>
      </w:tblGrid>
      <w:tr>
        <w:tc>
          <w:tcPr>
            <w:tcW w:w="3960" w:type="dxa"/>
            <w:vAlign w:val="center"/>
          </w:tcPr>
          <w:p>
            <w:pPr>
              <w:jc w:val="center"/>
              <w:rPr>
                <w:noProof/>
                <w:sz w:val="22"/>
              </w:rPr>
            </w:pPr>
            <w:r>
              <w:rPr>
                <w:noProof/>
                <w:sz w:val="22"/>
              </w:rPr>
              <w:t>DG: RTD</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r>
              <w:rPr>
                <w:rStyle w:val="FootnoteReference"/>
                <w:b/>
                <w:noProof/>
                <w:sz w:val="20"/>
              </w:rPr>
              <w:footnoteReference w:id="18"/>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868" w:type="dxa"/>
            <w:vAlign w:val="center"/>
          </w:tcPr>
          <w:p>
            <w:pPr>
              <w:jc w:val="center"/>
              <w:rPr>
                <w:noProof/>
                <w:sz w:val="20"/>
              </w:rPr>
            </w:pPr>
            <w:r>
              <w:rPr>
                <w:noProof/>
                <w:sz w:val="20"/>
              </w:rPr>
              <w:t>Année</w:t>
            </w:r>
            <w:r>
              <w:rPr>
                <w:noProof/>
                <w:sz w:val="22"/>
              </w:rPr>
              <w:br/>
            </w:r>
            <w:r>
              <w:rPr>
                <w:b/>
                <w:noProof/>
                <w:sz w:val="20"/>
              </w:rPr>
              <w:t>2022</w:t>
            </w:r>
          </w:p>
        </w:tc>
        <w:tc>
          <w:tcPr>
            <w:tcW w:w="794" w:type="dxa"/>
          </w:tcPr>
          <w:p>
            <w:pPr>
              <w:jc w:val="center"/>
              <w:rPr>
                <w:b/>
                <w:noProof/>
                <w:sz w:val="20"/>
              </w:rPr>
            </w:pPr>
            <w:r>
              <w:rPr>
                <w:noProof/>
                <w:sz w:val="20"/>
              </w:rPr>
              <w:t>Année</w:t>
            </w:r>
            <w:r>
              <w:rPr>
                <w:noProof/>
                <w:sz w:val="22"/>
              </w:rPr>
              <w:br/>
            </w:r>
            <w:r>
              <w:rPr>
                <w:b/>
                <w:noProof/>
                <w:sz w:val="20"/>
              </w:rPr>
              <w:t>2023</w:t>
            </w:r>
          </w:p>
        </w:tc>
        <w:tc>
          <w:tcPr>
            <w:tcW w:w="960" w:type="dxa"/>
          </w:tcPr>
          <w:p>
            <w:pPr>
              <w:jc w:val="center"/>
              <w:rPr>
                <w:b/>
                <w:noProof/>
                <w:sz w:val="20"/>
              </w:rPr>
            </w:pPr>
            <w:r>
              <w:rPr>
                <w:noProof/>
                <w:sz w:val="20"/>
              </w:rPr>
              <w:t>Année</w:t>
            </w:r>
            <w:r>
              <w:rPr>
                <w:noProof/>
                <w:sz w:val="22"/>
              </w:rPr>
              <w:br/>
            </w:r>
            <w:r>
              <w:rPr>
                <w:b/>
                <w:noProof/>
                <w:sz w:val="20"/>
              </w:rPr>
              <w:t>2024</w:t>
            </w:r>
          </w:p>
        </w:tc>
        <w:tc>
          <w:tcPr>
            <w:tcW w:w="1200"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794" w:type="dxa"/>
          </w:tcPr>
          <w:p>
            <w:pPr>
              <w:rPr>
                <w:b/>
                <w:noProof/>
                <w:sz w:val="20"/>
              </w:rPr>
            </w:pPr>
          </w:p>
        </w:tc>
        <w:tc>
          <w:tcPr>
            <w:tcW w:w="960" w:type="dxa"/>
          </w:tcPr>
          <w:p>
            <w:pPr>
              <w:rPr>
                <w:b/>
                <w:noProof/>
                <w:sz w:val="20"/>
              </w:rPr>
            </w:pPr>
          </w:p>
        </w:tc>
        <w:tc>
          <w:tcPr>
            <w:tcW w:w="1200"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 xml:space="preserve">Numéro de ligne budgétaire: </w:t>
            </w:r>
            <w:r>
              <w:rPr>
                <w:b/>
                <w:noProof/>
                <w:sz w:val="18"/>
              </w:rPr>
              <w:t>08.01.05.01</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b/>
                <w:noProof/>
                <w:sz w:val="20"/>
              </w:rPr>
              <w:t>0,050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794" w:type="dxa"/>
            <w:vAlign w:val="center"/>
          </w:tcPr>
          <w:p>
            <w:pPr>
              <w:spacing w:before="20" w:after="20"/>
              <w:jc w:val="right"/>
              <w:rPr>
                <w:b/>
                <w:noProof/>
                <w:sz w:val="20"/>
              </w:rPr>
            </w:pPr>
            <w:r>
              <w:rPr>
                <w:b/>
                <w:noProof/>
                <w:sz w:val="20"/>
              </w:rPr>
              <w:t>0,060</w:t>
            </w:r>
          </w:p>
        </w:tc>
        <w:tc>
          <w:tcPr>
            <w:tcW w:w="960" w:type="dxa"/>
            <w:vAlign w:val="center"/>
          </w:tcPr>
          <w:p>
            <w:pPr>
              <w:spacing w:before="20" w:after="20"/>
              <w:jc w:val="right"/>
              <w:rPr>
                <w:b/>
                <w:noProof/>
                <w:sz w:val="20"/>
              </w:rPr>
            </w:pPr>
            <w:r>
              <w:rPr>
                <w:b/>
                <w:noProof/>
                <w:sz w:val="20"/>
              </w:rPr>
              <w:t>0,010</w:t>
            </w:r>
          </w:p>
        </w:tc>
        <w:tc>
          <w:tcPr>
            <w:tcW w:w="1200" w:type="dxa"/>
            <w:vAlign w:val="center"/>
          </w:tcPr>
          <w:p>
            <w:pPr>
              <w:spacing w:before="20" w:after="20"/>
              <w:jc w:val="right"/>
              <w:rPr>
                <w:b/>
                <w:noProof/>
                <w:sz w:val="20"/>
              </w:rPr>
            </w:pPr>
            <w:r>
              <w:rPr>
                <w:b/>
                <w:noProof/>
                <w:sz w:val="20"/>
              </w:rPr>
              <w:t>0,300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b/>
                <w:noProof/>
                <w:sz w:val="20"/>
              </w:rPr>
              <w:t>0,050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794" w:type="dxa"/>
            <w:vAlign w:val="center"/>
          </w:tcPr>
          <w:p>
            <w:pPr>
              <w:spacing w:before="20" w:after="20"/>
              <w:jc w:val="right"/>
              <w:rPr>
                <w:b/>
                <w:noProof/>
                <w:sz w:val="20"/>
              </w:rPr>
            </w:pPr>
            <w:r>
              <w:rPr>
                <w:b/>
                <w:noProof/>
                <w:sz w:val="20"/>
              </w:rPr>
              <w:t>0,060</w:t>
            </w:r>
          </w:p>
        </w:tc>
        <w:tc>
          <w:tcPr>
            <w:tcW w:w="960" w:type="dxa"/>
            <w:vAlign w:val="center"/>
          </w:tcPr>
          <w:p>
            <w:pPr>
              <w:spacing w:before="20" w:after="20"/>
              <w:jc w:val="right"/>
              <w:rPr>
                <w:b/>
                <w:noProof/>
                <w:sz w:val="20"/>
              </w:rPr>
            </w:pPr>
            <w:r>
              <w:rPr>
                <w:b/>
                <w:noProof/>
                <w:sz w:val="20"/>
              </w:rPr>
              <w:t>0,010</w:t>
            </w:r>
          </w:p>
        </w:tc>
        <w:tc>
          <w:tcPr>
            <w:tcW w:w="1200" w:type="dxa"/>
            <w:vAlign w:val="center"/>
          </w:tcPr>
          <w:p>
            <w:pPr>
              <w:spacing w:before="20" w:after="20"/>
              <w:jc w:val="right"/>
              <w:rPr>
                <w:b/>
                <w:noProof/>
                <w:sz w:val="20"/>
              </w:rPr>
            </w:pPr>
            <w:r>
              <w:rPr>
                <w:b/>
                <w:noProof/>
                <w:sz w:val="20"/>
              </w:rPr>
              <w:t>0,300</w:t>
            </w:r>
          </w:p>
        </w:tc>
      </w:tr>
      <w:t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794" w:type="dxa"/>
          </w:tcPr>
          <w:p>
            <w:pPr>
              <w:spacing w:before="20" w:after="20"/>
              <w:jc w:val="right"/>
              <w:rPr>
                <w:b/>
                <w:noProof/>
                <w:sz w:val="20"/>
              </w:rPr>
            </w:pPr>
          </w:p>
        </w:tc>
        <w:tc>
          <w:tcPr>
            <w:tcW w:w="960" w:type="dxa"/>
          </w:tcPr>
          <w:p>
            <w:pPr>
              <w:spacing w:before="20" w:after="20"/>
              <w:jc w:val="right"/>
              <w:rPr>
                <w:b/>
                <w:noProof/>
                <w:sz w:val="20"/>
              </w:rPr>
            </w:pPr>
          </w:p>
        </w:tc>
        <w:tc>
          <w:tcPr>
            <w:tcW w:w="12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794" w:type="dxa"/>
          </w:tcPr>
          <w:p>
            <w:pPr>
              <w:spacing w:before="20" w:after="20"/>
              <w:jc w:val="right"/>
              <w:rPr>
                <w:b/>
                <w:noProof/>
                <w:sz w:val="20"/>
              </w:rPr>
            </w:pPr>
          </w:p>
        </w:tc>
        <w:tc>
          <w:tcPr>
            <w:tcW w:w="960" w:type="dxa"/>
          </w:tcPr>
          <w:p>
            <w:pPr>
              <w:spacing w:before="20" w:after="20"/>
              <w:jc w:val="right"/>
              <w:rPr>
                <w:b/>
                <w:noProof/>
                <w:sz w:val="20"/>
              </w:rPr>
            </w:pPr>
          </w:p>
        </w:tc>
        <w:tc>
          <w:tcPr>
            <w:tcW w:w="1200"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19"/>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794" w:type="dxa"/>
          </w:tcPr>
          <w:p>
            <w:pPr>
              <w:rPr>
                <w:b/>
                <w:noProof/>
                <w:sz w:val="20"/>
              </w:rPr>
            </w:pPr>
          </w:p>
        </w:tc>
        <w:tc>
          <w:tcPr>
            <w:tcW w:w="960" w:type="dxa"/>
          </w:tcPr>
          <w:p>
            <w:pPr>
              <w:rPr>
                <w:b/>
                <w:noProof/>
                <w:sz w:val="20"/>
              </w:rPr>
            </w:pPr>
          </w:p>
        </w:tc>
        <w:tc>
          <w:tcPr>
            <w:tcW w:w="1200"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 xml:space="preserve">Numéro de ligne budgétaire: </w:t>
            </w:r>
            <w:r>
              <w:rPr>
                <w:b/>
                <w:noProof/>
                <w:sz w:val="18"/>
              </w:rPr>
              <w:t>08.01.05.03</w:t>
            </w:r>
          </w:p>
        </w:tc>
        <w:tc>
          <w:tcPr>
            <w:tcW w:w="1440" w:type="dxa"/>
            <w:vAlign w:val="center"/>
          </w:tcPr>
          <w:p>
            <w:pPr>
              <w:pStyle w:val="Default"/>
              <w:jc w:val="right"/>
              <w:rPr>
                <w:noProof/>
                <w:sz w:val="18"/>
                <w:szCs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r>
              <w:rPr>
                <w:b/>
                <w:noProof/>
                <w:sz w:val="20"/>
              </w:rPr>
              <w:t>0,010</w:t>
            </w:r>
          </w:p>
        </w:tc>
        <w:tc>
          <w:tcPr>
            <w:tcW w:w="868" w:type="dxa"/>
            <w:vAlign w:val="center"/>
          </w:tcPr>
          <w:p>
            <w:pPr>
              <w:spacing w:before="40" w:after="40"/>
              <w:jc w:val="right"/>
              <w:rPr>
                <w:b/>
                <w:noProof/>
                <w:sz w:val="20"/>
              </w:rPr>
            </w:pPr>
            <w:r>
              <w:rPr>
                <w:b/>
                <w:noProof/>
                <w:sz w:val="20"/>
              </w:rPr>
              <w:t>0,012</w:t>
            </w:r>
          </w:p>
        </w:tc>
        <w:tc>
          <w:tcPr>
            <w:tcW w:w="868" w:type="dxa"/>
            <w:vAlign w:val="center"/>
          </w:tcPr>
          <w:p>
            <w:pPr>
              <w:spacing w:before="40" w:after="40"/>
              <w:jc w:val="right"/>
              <w:rPr>
                <w:b/>
                <w:noProof/>
                <w:sz w:val="20"/>
              </w:rPr>
            </w:pPr>
            <w:r>
              <w:rPr>
                <w:b/>
                <w:noProof/>
                <w:sz w:val="20"/>
              </w:rPr>
              <w:t>0,012</w:t>
            </w:r>
          </w:p>
        </w:tc>
        <w:tc>
          <w:tcPr>
            <w:tcW w:w="868" w:type="dxa"/>
            <w:vAlign w:val="center"/>
          </w:tcPr>
          <w:p>
            <w:pPr>
              <w:spacing w:before="40" w:after="40"/>
              <w:jc w:val="right"/>
              <w:rPr>
                <w:b/>
                <w:noProof/>
                <w:sz w:val="20"/>
              </w:rPr>
            </w:pPr>
            <w:r>
              <w:rPr>
                <w:b/>
                <w:noProof/>
                <w:sz w:val="20"/>
              </w:rPr>
              <w:t>0,012</w:t>
            </w:r>
          </w:p>
        </w:tc>
        <w:tc>
          <w:tcPr>
            <w:tcW w:w="794" w:type="dxa"/>
          </w:tcPr>
          <w:p>
            <w:pPr>
              <w:spacing w:before="40" w:after="40"/>
              <w:jc w:val="right"/>
              <w:rPr>
                <w:b/>
                <w:noProof/>
                <w:sz w:val="20"/>
              </w:rPr>
            </w:pPr>
            <w:r>
              <w:rPr>
                <w:b/>
                <w:noProof/>
                <w:sz w:val="20"/>
              </w:rPr>
              <w:t>0,012</w:t>
            </w:r>
          </w:p>
        </w:tc>
        <w:tc>
          <w:tcPr>
            <w:tcW w:w="960" w:type="dxa"/>
          </w:tcPr>
          <w:p>
            <w:pPr>
              <w:spacing w:before="40" w:after="40"/>
              <w:jc w:val="right"/>
              <w:rPr>
                <w:b/>
                <w:noProof/>
                <w:sz w:val="20"/>
              </w:rPr>
            </w:pPr>
            <w:r>
              <w:rPr>
                <w:b/>
                <w:noProof/>
                <w:sz w:val="20"/>
              </w:rPr>
              <w:t>0,002</w:t>
            </w:r>
          </w:p>
        </w:tc>
        <w:tc>
          <w:tcPr>
            <w:tcW w:w="1200" w:type="dxa"/>
            <w:vAlign w:val="center"/>
          </w:tcPr>
          <w:p>
            <w:pPr>
              <w:spacing w:before="40" w:after="40"/>
              <w:jc w:val="right"/>
              <w:rPr>
                <w:b/>
                <w:noProof/>
                <w:sz w:val="20"/>
              </w:rPr>
            </w:pPr>
            <w:r>
              <w:rPr>
                <w:b/>
                <w:noProof/>
                <w:sz w:val="20"/>
              </w:rPr>
              <w:t>0,060</w:t>
            </w:r>
          </w:p>
        </w:tc>
      </w:tr>
      <w:tr>
        <w:tc>
          <w:tcPr>
            <w:tcW w:w="3960" w:type="dxa"/>
            <w:vMerge w:val="restart"/>
            <w:vAlign w:val="center"/>
          </w:tcPr>
          <w:p>
            <w:pPr>
              <w:jc w:val="center"/>
              <w:rPr>
                <w:b/>
                <w:noProof/>
                <w:sz w:val="22"/>
              </w:rPr>
            </w:pPr>
            <w:r>
              <w:rPr>
                <w:b/>
                <w:noProof/>
                <w:sz w:val="22"/>
              </w:rPr>
              <w:t>TOTAL des crédits</w:t>
            </w:r>
            <w:r>
              <w:rPr>
                <w:noProof/>
                <w:sz w:val="22"/>
              </w:rPr>
              <w:br/>
            </w:r>
            <w:r>
              <w:rPr>
                <w:b/>
                <w:noProof/>
                <w:sz w:val="22"/>
              </w:rPr>
              <w:t>pour la DG RTD</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pStyle w:val="Default"/>
              <w:jc w:val="right"/>
              <w:rPr>
                <w:noProof/>
                <w:sz w:val="20"/>
                <w:szCs w:val="20"/>
              </w:rPr>
            </w:pPr>
            <w:r>
              <w:rPr>
                <w:b/>
                <w:noProof/>
                <w:sz w:val="20"/>
              </w:rPr>
              <w:t>0,060</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60" w:type="dxa"/>
            <w:vAlign w:val="center"/>
          </w:tcPr>
          <w:p>
            <w:pPr>
              <w:pStyle w:val="Default"/>
              <w:jc w:val="right"/>
              <w:rPr>
                <w:b/>
                <w:noProof/>
                <w:sz w:val="20"/>
                <w:szCs w:val="20"/>
              </w:rPr>
            </w:pPr>
            <w:r>
              <w:rPr>
                <w:b/>
                <w:noProof/>
                <w:sz w:val="20"/>
              </w:rPr>
              <w:t>0,012</w:t>
            </w:r>
          </w:p>
        </w:tc>
        <w:tc>
          <w:tcPr>
            <w:tcW w:w="1200" w:type="dxa"/>
            <w:vAlign w:val="center"/>
          </w:tcPr>
          <w:p>
            <w:pPr>
              <w:pStyle w:val="Default"/>
              <w:jc w:val="right"/>
              <w:rPr>
                <w:b/>
                <w:noProof/>
                <w:sz w:val="20"/>
                <w:szCs w:val="20"/>
              </w:rPr>
            </w:pPr>
            <w:r>
              <w:rPr>
                <w:b/>
                <w:noProof/>
                <w:sz w:val="20"/>
              </w:rPr>
              <w:t>0,360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pStyle w:val="Default"/>
              <w:jc w:val="right"/>
              <w:rPr>
                <w:noProof/>
                <w:sz w:val="20"/>
                <w:szCs w:val="20"/>
              </w:rPr>
            </w:pPr>
            <w:r>
              <w:rPr>
                <w:b/>
                <w:noProof/>
                <w:sz w:val="20"/>
              </w:rPr>
              <w:t>0,060</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60" w:type="dxa"/>
            <w:vAlign w:val="center"/>
          </w:tcPr>
          <w:p>
            <w:pPr>
              <w:pStyle w:val="Default"/>
              <w:jc w:val="right"/>
              <w:rPr>
                <w:b/>
                <w:noProof/>
                <w:sz w:val="20"/>
                <w:szCs w:val="20"/>
              </w:rPr>
            </w:pPr>
            <w:r>
              <w:rPr>
                <w:b/>
                <w:noProof/>
                <w:sz w:val="20"/>
              </w:rPr>
              <w:t>0,012</w:t>
            </w:r>
          </w:p>
        </w:tc>
        <w:tc>
          <w:tcPr>
            <w:tcW w:w="1200" w:type="dxa"/>
            <w:vAlign w:val="center"/>
          </w:tcPr>
          <w:p>
            <w:pPr>
              <w:pStyle w:val="Default"/>
              <w:jc w:val="right"/>
              <w:rPr>
                <w:b/>
                <w:noProof/>
                <w:sz w:val="20"/>
                <w:szCs w:val="20"/>
              </w:rPr>
            </w:pPr>
            <w:r>
              <w:rPr>
                <w:b/>
                <w:noProof/>
                <w:sz w:val="20"/>
              </w:rPr>
              <w:t>0,360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794"/>
        <w:gridCol w:w="942"/>
        <w:gridCol w:w="1218"/>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b/>
                <w:noProof/>
                <w:sz w:val="20"/>
              </w:rPr>
              <w:t>0,050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794" w:type="dxa"/>
            <w:vAlign w:val="center"/>
          </w:tcPr>
          <w:p>
            <w:pPr>
              <w:spacing w:before="20" w:after="20"/>
              <w:jc w:val="right"/>
              <w:rPr>
                <w:noProof/>
                <w:sz w:val="20"/>
              </w:rPr>
            </w:pPr>
            <w:r>
              <w:rPr>
                <w:b/>
                <w:noProof/>
                <w:sz w:val="20"/>
              </w:rPr>
              <w:t>0,060</w:t>
            </w:r>
          </w:p>
        </w:tc>
        <w:tc>
          <w:tcPr>
            <w:tcW w:w="942" w:type="dxa"/>
            <w:vAlign w:val="center"/>
          </w:tcPr>
          <w:p>
            <w:pPr>
              <w:spacing w:before="20" w:after="20"/>
              <w:jc w:val="right"/>
              <w:rPr>
                <w:b/>
                <w:noProof/>
                <w:sz w:val="20"/>
              </w:rPr>
            </w:pPr>
            <w:r>
              <w:rPr>
                <w:b/>
                <w:noProof/>
                <w:sz w:val="20"/>
              </w:rPr>
              <w:t>0,010</w:t>
            </w:r>
          </w:p>
        </w:tc>
        <w:tc>
          <w:tcPr>
            <w:tcW w:w="1218" w:type="dxa"/>
            <w:vAlign w:val="center"/>
          </w:tcPr>
          <w:p>
            <w:pPr>
              <w:spacing w:before="20" w:after="20"/>
              <w:jc w:val="right"/>
              <w:rPr>
                <w:b/>
                <w:noProof/>
                <w:sz w:val="20"/>
              </w:rPr>
            </w:pPr>
            <w:r>
              <w:rPr>
                <w:b/>
                <w:noProof/>
                <w:sz w:val="20"/>
              </w:rPr>
              <w:t>0,300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b/>
                <w:noProof/>
                <w:sz w:val="20"/>
              </w:rPr>
              <w:t>0,050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794" w:type="dxa"/>
            <w:vAlign w:val="center"/>
          </w:tcPr>
          <w:p>
            <w:pPr>
              <w:spacing w:before="20" w:after="20"/>
              <w:jc w:val="right"/>
              <w:rPr>
                <w:noProof/>
                <w:sz w:val="20"/>
              </w:rPr>
            </w:pPr>
            <w:r>
              <w:rPr>
                <w:b/>
                <w:noProof/>
                <w:sz w:val="20"/>
              </w:rPr>
              <w:t>0,060</w:t>
            </w:r>
          </w:p>
        </w:tc>
        <w:tc>
          <w:tcPr>
            <w:tcW w:w="942" w:type="dxa"/>
            <w:vAlign w:val="center"/>
          </w:tcPr>
          <w:p>
            <w:pPr>
              <w:spacing w:before="20" w:after="20"/>
              <w:jc w:val="right"/>
              <w:rPr>
                <w:b/>
                <w:noProof/>
                <w:sz w:val="20"/>
              </w:rPr>
            </w:pPr>
            <w:r>
              <w:rPr>
                <w:b/>
                <w:noProof/>
                <w:sz w:val="20"/>
              </w:rPr>
              <w:t>0,010</w:t>
            </w:r>
          </w:p>
        </w:tc>
        <w:tc>
          <w:tcPr>
            <w:tcW w:w="1218" w:type="dxa"/>
            <w:vAlign w:val="center"/>
          </w:tcPr>
          <w:p>
            <w:pPr>
              <w:spacing w:before="20" w:after="20"/>
              <w:jc w:val="right"/>
              <w:rPr>
                <w:b/>
                <w:noProof/>
                <w:sz w:val="20"/>
              </w:rPr>
            </w:pPr>
            <w:r>
              <w:rPr>
                <w:b/>
                <w:noProof/>
                <w:sz w:val="20"/>
              </w:rPr>
              <w:t>0,300</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pStyle w:val="Default"/>
              <w:jc w:val="right"/>
              <w:rPr>
                <w:noProof/>
                <w:sz w:val="20"/>
                <w:szCs w:val="20"/>
              </w:rPr>
            </w:pPr>
            <w:r>
              <w:rPr>
                <w:b/>
                <w:noProof/>
                <w:sz w:val="20"/>
              </w:rPr>
              <w:t>0,010</w:t>
            </w:r>
          </w:p>
        </w:tc>
        <w:tc>
          <w:tcPr>
            <w:tcW w:w="868" w:type="dxa"/>
            <w:vAlign w:val="center"/>
          </w:tcPr>
          <w:p>
            <w:pPr>
              <w:pStyle w:val="Default"/>
              <w:jc w:val="right"/>
              <w:rPr>
                <w:noProof/>
                <w:sz w:val="20"/>
                <w:szCs w:val="20"/>
              </w:rPr>
            </w:pPr>
            <w:r>
              <w:rPr>
                <w:b/>
                <w:noProof/>
                <w:sz w:val="20"/>
              </w:rPr>
              <w:t>0,012</w:t>
            </w:r>
          </w:p>
        </w:tc>
        <w:tc>
          <w:tcPr>
            <w:tcW w:w="868" w:type="dxa"/>
            <w:vAlign w:val="center"/>
          </w:tcPr>
          <w:p>
            <w:pPr>
              <w:pStyle w:val="Default"/>
              <w:jc w:val="right"/>
              <w:rPr>
                <w:noProof/>
                <w:sz w:val="20"/>
                <w:szCs w:val="20"/>
              </w:rPr>
            </w:pPr>
            <w:r>
              <w:rPr>
                <w:b/>
                <w:noProof/>
                <w:sz w:val="20"/>
              </w:rPr>
              <w:t>0,012</w:t>
            </w:r>
          </w:p>
        </w:tc>
        <w:tc>
          <w:tcPr>
            <w:tcW w:w="868" w:type="dxa"/>
            <w:vAlign w:val="center"/>
          </w:tcPr>
          <w:p>
            <w:pPr>
              <w:pStyle w:val="Default"/>
              <w:jc w:val="right"/>
              <w:rPr>
                <w:noProof/>
                <w:sz w:val="20"/>
                <w:szCs w:val="20"/>
              </w:rPr>
            </w:pPr>
            <w:r>
              <w:rPr>
                <w:b/>
                <w:noProof/>
                <w:sz w:val="20"/>
              </w:rPr>
              <w:t>0,012</w:t>
            </w:r>
          </w:p>
        </w:tc>
        <w:tc>
          <w:tcPr>
            <w:tcW w:w="794" w:type="dxa"/>
            <w:vAlign w:val="center"/>
          </w:tcPr>
          <w:p>
            <w:pPr>
              <w:pStyle w:val="Default"/>
              <w:jc w:val="right"/>
              <w:rPr>
                <w:b/>
                <w:noProof/>
                <w:sz w:val="20"/>
                <w:szCs w:val="20"/>
              </w:rPr>
            </w:pPr>
            <w:r>
              <w:rPr>
                <w:b/>
                <w:noProof/>
                <w:sz w:val="20"/>
              </w:rPr>
              <w:t>0,012</w:t>
            </w:r>
          </w:p>
        </w:tc>
        <w:tc>
          <w:tcPr>
            <w:tcW w:w="942" w:type="dxa"/>
            <w:vAlign w:val="center"/>
          </w:tcPr>
          <w:p>
            <w:pPr>
              <w:pStyle w:val="Default"/>
              <w:jc w:val="right"/>
              <w:rPr>
                <w:b/>
                <w:noProof/>
                <w:sz w:val="20"/>
                <w:szCs w:val="20"/>
              </w:rPr>
            </w:pPr>
            <w:r>
              <w:rPr>
                <w:b/>
                <w:noProof/>
                <w:sz w:val="20"/>
              </w:rPr>
              <w:t>0,002</w:t>
            </w:r>
          </w:p>
        </w:tc>
        <w:tc>
          <w:tcPr>
            <w:tcW w:w="1218" w:type="dxa"/>
            <w:vAlign w:val="center"/>
          </w:tcPr>
          <w:p>
            <w:pPr>
              <w:pStyle w:val="Default"/>
              <w:jc w:val="right"/>
              <w:rPr>
                <w:b/>
                <w:noProof/>
                <w:sz w:val="20"/>
                <w:szCs w:val="20"/>
              </w:rPr>
            </w:pPr>
            <w:r>
              <w:rPr>
                <w:b/>
                <w:noProof/>
                <w:sz w:val="20"/>
              </w:rPr>
              <w:t>0,060</w:t>
            </w:r>
          </w:p>
        </w:tc>
      </w:tr>
      <w:tr>
        <w:tc>
          <w:tcPr>
            <w:tcW w:w="3960" w:type="dxa"/>
            <w:vMerge w:val="restart"/>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&lt;1a&gt;</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 4 + 6</w:t>
            </w:r>
          </w:p>
        </w:tc>
        <w:tc>
          <w:tcPr>
            <w:tcW w:w="868" w:type="dxa"/>
            <w:vAlign w:val="center"/>
          </w:tcPr>
          <w:p>
            <w:pPr>
              <w:pStyle w:val="Default"/>
              <w:jc w:val="right"/>
              <w:rPr>
                <w:noProof/>
                <w:sz w:val="20"/>
                <w:szCs w:val="20"/>
              </w:rPr>
            </w:pPr>
            <w:r>
              <w:rPr>
                <w:b/>
                <w:noProof/>
                <w:sz w:val="20"/>
              </w:rPr>
              <w:t>0,06</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42" w:type="dxa"/>
            <w:vAlign w:val="center"/>
          </w:tcPr>
          <w:p>
            <w:pPr>
              <w:pStyle w:val="Default"/>
              <w:jc w:val="right"/>
              <w:rPr>
                <w:b/>
                <w:noProof/>
                <w:sz w:val="20"/>
                <w:szCs w:val="20"/>
              </w:rPr>
            </w:pPr>
            <w:r>
              <w:rPr>
                <w:b/>
                <w:noProof/>
                <w:sz w:val="20"/>
              </w:rPr>
              <w:t>0,012</w:t>
            </w:r>
          </w:p>
        </w:tc>
        <w:tc>
          <w:tcPr>
            <w:tcW w:w="1218" w:type="dxa"/>
            <w:vAlign w:val="center"/>
          </w:tcPr>
          <w:p>
            <w:pPr>
              <w:pStyle w:val="Default"/>
              <w:jc w:val="right"/>
              <w:rPr>
                <w:b/>
                <w:noProof/>
                <w:sz w:val="20"/>
                <w:szCs w:val="20"/>
              </w:rPr>
            </w:pPr>
            <w:r>
              <w:rPr>
                <w:b/>
                <w:noProof/>
                <w:sz w:val="20"/>
              </w:rPr>
              <w:t>0,360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 5 + 6</w:t>
            </w:r>
          </w:p>
        </w:tc>
        <w:tc>
          <w:tcPr>
            <w:tcW w:w="868" w:type="dxa"/>
            <w:vAlign w:val="center"/>
          </w:tcPr>
          <w:p>
            <w:pPr>
              <w:pStyle w:val="Default"/>
              <w:jc w:val="right"/>
              <w:rPr>
                <w:noProof/>
                <w:sz w:val="20"/>
                <w:szCs w:val="20"/>
              </w:rPr>
            </w:pPr>
            <w:r>
              <w:rPr>
                <w:b/>
                <w:noProof/>
                <w:sz w:val="20"/>
              </w:rPr>
              <w:t>0,06</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42" w:type="dxa"/>
            <w:vAlign w:val="center"/>
          </w:tcPr>
          <w:p>
            <w:pPr>
              <w:pStyle w:val="Default"/>
              <w:jc w:val="right"/>
              <w:rPr>
                <w:b/>
                <w:noProof/>
                <w:sz w:val="20"/>
                <w:szCs w:val="20"/>
              </w:rPr>
            </w:pPr>
            <w:r>
              <w:rPr>
                <w:b/>
                <w:noProof/>
                <w:sz w:val="20"/>
              </w:rPr>
              <w:t>0,012</w:t>
            </w:r>
          </w:p>
        </w:tc>
        <w:tc>
          <w:tcPr>
            <w:tcW w:w="1218" w:type="dxa"/>
            <w:vAlign w:val="center"/>
          </w:tcPr>
          <w:p>
            <w:pPr>
              <w:pStyle w:val="Default"/>
              <w:jc w:val="right"/>
              <w:rPr>
                <w:b/>
                <w:noProof/>
                <w:sz w:val="20"/>
                <w:szCs w:val="20"/>
              </w:rPr>
            </w:pPr>
            <w:r>
              <w:rPr>
                <w:b/>
                <w:noProof/>
                <w:sz w:val="20"/>
              </w:rPr>
              <w:t>0,360</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TOTAL des crédits opérationnels</w:t>
            </w:r>
          </w:p>
        </w:tc>
        <w:tc>
          <w:tcPr>
            <w:tcW w:w="1440" w:type="dxa"/>
            <w:tcBorders>
              <w:top w:val="single" w:sz="4" w:space="0" w:color="FF0000"/>
            </w:tcBorders>
            <w:vAlign w:val="center"/>
          </w:tcPr>
          <w:p>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 4 + 6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Paiements</w:t>
            </w:r>
          </w:p>
        </w:tc>
        <w:tc>
          <w:tcPr>
            <w:tcW w:w="654" w:type="dxa"/>
            <w:tcBorders>
              <w:bottom w:val="single" w:sz="4" w:space="0" w:color="FF0000"/>
            </w:tcBorders>
            <w:vAlign w:val="center"/>
          </w:tcPr>
          <w:p>
            <w:pPr>
              <w:jc w:val="center"/>
              <w:rPr>
                <w:noProof/>
                <w:sz w:val="14"/>
              </w:rPr>
            </w:pPr>
            <w:r>
              <w:rPr>
                <w:noProof/>
                <w:sz w:val="14"/>
              </w:rPr>
              <w:t>= 5 + 6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xml:space="preserve"> décimale)</w:t>
      </w:r>
    </w:p>
    <w:tbl>
      <w:tblPr>
        <w:tblW w:w="142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707"/>
        <w:gridCol w:w="161"/>
        <w:gridCol w:w="868"/>
        <w:gridCol w:w="674"/>
        <w:gridCol w:w="840"/>
        <w:gridCol w:w="324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gridSpan w:val="2"/>
            <w:vAlign w:val="center"/>
          </w:tcPr>
          <w:p>
            <w:pPr>
              <w:jc w:val="center"/>
              <w:rPr>
                <w:noProof/>
                <w:sz w:val="20"/>
              </w:rPr>
            </w:pPr>
            <w:r>
              <w:rPr>
                <w:noProof/>
                <w:sz w:val="20"/>
              </w:rPr>
              <w:t>Année</w:t>
            </w:r>
            <w:r>
              <w:rPr>
                <w:noProof/>
                <w:sz w:val="22"/>
              </w:rPr>
              <w:br/>
            </w:r>
            <w:r>
              <w:rPr>
                <w:b/>
                <w:noProof/>
                <w:sz w:val="20"/>
              </w:rPr>
              <w:t>2021</w:t>
            </w:r>
          </w:p>
        </w:tc>
        <w:tc>
          <w:tcPr>
            <w:tcW w:w="868" w:type="dxa"/>
            <w:vAlign w:val="center"/>
          </w:tcPr>
          <w:p>
            <w:pPr>
              <w:jc w:val="center"/>
              <w:rPr>
                <w:noProof/>
                <w:sz w:val="20"/>
              </w:rPr>
            </w:pPr>
            <w:r>
              <w:rPr>
                <w:noProof/>
                <w:sz w:val="20"/>
              </w:rPr>
              <w:t>Année</w:t>
            </w:r>
            <w:r>
              <w:rPr>
                <w:noProof/>
                <w:sz w:val="22"/>
              </w:rPr>
              <w:br/>
            </w:r>
            <w:r>
              <w:rPr>
                <w:b/>
                <w:noProof/>
                <w:sz w:val="20"/>
              </w:rPr>
              <w:t>2022</w:t>
            </w:r>
          </w:p>
        </w:tc>
        <w:tc>
          <w:tcPr>
            <w:tcW w:w="674" w:type="dxa"/>
          </w:tcPr>
          <w:p>
            <w:pPr>
              <w:jc w:val="center"/>
              <w:rPr>
                <w:b/>
                <w:noProof/>
                <w:sz w:val="20"/>
              </w:rPr>
            </w:pPr>
            <w:r>
              <w:rPr>
                <w:noProof/>
                <w:sz w:val="20"/>
              </w:rPr>
              <w:t>Année</w:t>
            </w:r>
            <w:r>
              <w:rPr>
                <w:b/>
                <w:noProof/>
                <w:sz w:val="20"/>
              </w:rPr>
              <w:t xml:space="preserve"> 2023</w:t>
            </w:r>
          </w:p>
        </w:tc>
        <w:tc>
          <w:tcPr>
            <w:tcW w:w="840" w:type="dxa"/>
          </w:tcPr>
          <w:p>
            <w:pPr>
              <w:jc w:val="center"/>
              <w:rPr>
                <w:b/>
                <w:noProof/>
                <w:sz w:val="20"/>
              </w:rPr>
            </w:pPr>
            <w:r>
              <w:rPr>
                <w:noProof/>
                <w:sz w:val="20"/>
              </w:rPr>
              <w:t>Année</w:t>
            </w:r>
            <w:r>
              <w:rPr>
                <w:b/>
                <w:noProof/>
                <w:sz w:val="20"/>
              </w:rPr>
              <w:t xml:space="preserve"> 2024</w:t>
            </w:r>
          </w:p>
        </w:tc>
        <w:tc>
          <w:tcPr>
            <w:tcW w:w="3240" w:type="dxa"/>
            <w:vAlign w:val="center"/>
          </w:tcPr>
          <w:p>
            <w:pPr>
              <w:jc w:val="center"/>
              <w:rPr>
                <w:b/>
                <w:noProof/>
                <w:sz w:val="20"/>
              </w:rPr>
            </w:pPr>
            <w:r>
              <w:rPr>
                <w:b/>
                <w:noProof/>
                <w:sz w:val="20"/>
              </w:rPr>
              <w:t>TOTAL</w:t>
            </w:r>
          </w:p>
        </w:tc>
      </w:tr>
      <w:tr>
        <w:trPr>
          <w:gridAfter w:val="5"/>
          <w:wAfter w:w="5783" w:type="dxa"/>
        </w:trPr>
        <w:tc>
          <w:tcPr>
            <w:tcW w:w="3960" w:type="dxa"/>
            <w:vAlign w:val="center"/>
          </w:tcPr>
          <w:p>
            <w:pPr>
              <w:spacing w:before="60" w:after="60"/>
              <w:jc w:val="center"/>
              <w:rPr>
                <w:noProof/>
                <w:sz w:val="22"/>
              </w:rPr>
            </w:pPr>
            <w:r>
              <w:rPr>
                <w:noProof/>
                <w:sz w:val="22"/>
              </w:rPr>
              <w:t>DG: RTD</w:t>
            </w:r>
          </w:p>
        </w:tc>
        <w:tc>
          <w:tcPr>
            <w:tcW w:w="4537" w:type="dxa"/>
            <w:gridSpan w:val="5"/>
            <w:tcBorders>
              <w:right w:val="nil"/>
            </w:tcBorders>
          </w:tcPr>
          <w:p>
            <w:pPr>
              <w:spacing w:before="60" w:after="60"/>
              <w:jc w:val="center"/>
              <w:rPr>
                <w:noProof/>
                <w:sz w:val="22"/>
              </w:rPr>
            </w:pP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Ressources humaines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674" w:type="dxa"/>
          </w:tcPr>
          <w:p>
            <w:pPr>
              <w:spacing w:before="20" w:after="20"/>
              <w:jc w:val="right"/>
              <w:rPr>
                <w:b/>
                <w:noProof/>
                <w:sz w:val="20"/>
              </w:rPr>
            </w:pPr>
          </w:p>
        </w:tc>
        <w:tc>
          <w:tcPr>
            <w:tcW w:w="840" w:type="dxa"/>
          </w:tcPr>
          <w:p>
            <w:pPr>
              <w:spacing w:before="20" w:after="20"/>
              <w:jc w:val="right"/>
              <w:rPr>
                <w:b/>
                <w:noProof/>
                <w:sz w:val="20"/>
              </w:rPr>
            </w:pPr>
          </w:p>
        </w:tc>
        <w:tc>
          <w:tcPr>
            <w:tcW w:w="3240"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Autres dépenses de nature administrative</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674" w:type="dxa"/>
            <w:vAlign w:val="center"/>
          </w:tcPr>
          <w:p>
            <w:pPr>
              <w:spacing w:before="20" w:after="20"/>
              <w:jc w:val="center"/>
              <w:rPr>
                <w:b/>
                <w:noProof/>
                <w:sz w:val="20"/>
              </w:rPr>
            </w:pPr>
          </w:p>
        </w:tc>
        <w:tc>
          <w:tcPr>
            <w:tcW w:w="840" w:type="dxa"/>
            <w:vAlign w:val="center"/>
          </w:tcPr>
          <w:p>
            <w:pPr>
              <w:spacing w:before="20" w:after="20"/>
              <w:jc w:val="center"/>
              <w:rPr>
                <w:b/>
                <w:noProof/>
                <w:sz w:val="20"/>
              </w:rPr>
            </w:pPr>
          </w:p>
        </w:tc>
        <w:tc>
          <w:tcPr>
            <w:tcW w:w="3240"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TOTAL DG RTD</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674" w:type="dxa"/>
            <w:vAlign w:val="center"/>
          </w:tcPr>
          <w:p>
            <w:pPr>
              <w:spacing w:before="20" w:after="20"/>
              <w:jc w:val="center"/>
              <w:rPr>
                <w:b/>
                <w:noProof/>
                <w:sz w:val="20"/>
              </w:rPr>
            </w:pPr>
          </w:p>
        </w:tc>
        <w:tc>
          <w:tcPr>
            <w:tcW w:w="840" w:type="dxa"/>
            <w:vAlign w:val="center"/>
          </w:tcPr>
          <w:p>
            <w:pPr>
              <w:spacing w:before="20" w:after="20"/>
              <w:jc w:val="center"/>
              <w:rPr>
                <w:b/>
                <w:noProof/>
                <w:sz w:val="20"/>
              </w:rPr>
            </w:pPr>
          </w:p>
        </w:tc>
        <w:tc>
          <w:tcPr>
            <w:tcW w:w="3240"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674"/>
        <w:gridCol w:w="840"/>
        <w:gridCol w:w="3240"/>
      </w:tblGrid>
      <w:tr>
        <w:tc>
          <w:tcPr>
            <w:tcW w:w="3960" w:type="dxa"/>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674" w:type="dxa"/>
            <w:vAlign w:val="center"/>
          </w:tcPr>
          <w:p>
            <w:pPr>
              <w:spacing w:before="20" w:after="20"/>
              <w:jc w:val="center"/>
              <w:rPr>
                <w:b/>
                <w:noProof/>
                <w:sz w:val="20"/>
              </w:rPr>
            </w:pPr>
          </w:p>
        </w:tc>
        <w:tc>
          <w:tcPr>
            <w:tcW w:w="840" w:type="dxa"/>
            <w:vAlign w:val="center"/>
          </w:tcPr>
          <w:p>
            <w:pPr>
              <w:spacing w:before="20" w:after="20"/>
              <w:jc w:val="center"/>
              <w:rPr>
                <w:b/>
                <w:noProof/>
                <w:sz w:val="20"/>
              </w:rPr>
            </w:pPr>
          </w:p>
        </w:tc>
        <w:tc>
          <w:tcPr>
            <w:tcW w:w="3240"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xml:space="preserve"> décimale)</w:t>
      </w:r>
    </w:p>
    <w:tbl>
      <w:tblPr>
        <w:tblW w:w="142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27"/>
        <w:gridCol w:w="909"/>
        <w:gridCol w:w="868"/>
        <w:gridCol w:w="868"/>
        <w:gridCol w:w="899"/>
        <w:gridCol w:w="850"/>
        <w:gridCol w:w="3005"/>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27" w:type="dxa"/>
            <w:vAlign w:val="center"/>
          </w:tcPr>
          <w:p>
            <w:pPr>
              <w:jc w:val="center"/>
              <w:rPr>
                <w:noProof/>
                <w:sz w:val="20"/>
              </w:rPr>
            </w:pPr>
            <w:r>
              <w:rPr>
                <w:noProof/>
                <w:sz w:val="20"/>
              </w:rPr>
              <w:t>Année</w:t>
            </w:r>
            <w:r>
              <w:rPr>
                <w:noProof/>
                <w:sz w:val="22"/>
              </w:rPr>
              <w:br/>
            </w:r>
            <w:r>
              <w:rPr>
                <w:b/>
                <w:noProof/>
                <w:sz w:val="20"/>
              </w:rPr>
              <w:t>2019</w:t>
            </w:r>
            <w:r>
              <w:rPr>
                <w:rStyle w:val="FootnoteReference"/>
                <w:b/>
                <w:noProof/>
                <w:sz w:val="20"/>
              </w:rPr>
              <w:footnoteReference w:id="20"/>
            </w:r>
          </w:p>
        </w:tc>
        <w:tc>
          <w:tcPr>
            <w:tcW w:w="909"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868" w:type="dxa"/>
            <w:vAlign w:val="center"/>
          </w:tcPr>
          <w:p>
            <w:pPr>
              <w:jc w:val="center"/>
              <w:rPr>
                <w:noProof/>
                <w:sz w:val="20"/>
              </w:rPr>
            </w:pPr>
            <w:r>
              <w:rPr>
                <w:noProof/>
                <w:sz w:val="20"/>
              </w:rPr>
              <w:t>Année</w:t>
            </w:r>
            <w:r>
              <w:rPr>
                <w:noProof/>
                <w:sz w:val="22"/>
              </w:rPr>
              <w:br/>
            </w:r>
            <w:r>
              <w:rPr>
                <w:b/>
                <w:noProof/>
                <w:sz w:val="20"/>
              </w:rPr>
              <w:t>2022</w:t>
            </w:r>
          </w:p>
        </w:tc>
        <w:tc>
          <w:tcPr>
            <w:tcW w:w="899" w:type="dxa"/>
          </w:tcPr>
          <w:p>
            <w:pPr>
              <w:jc w:val="center"/>
              <w:rPr>
                <w:b/>
                <w:noProof/>
                <w:sz w:val="20"/>
              </w:rPr>
            </w:pPr>
            <w:r>
              <w:rPr>
                <w:noProof/>
                <w:sz w:val="20"/>
              </w:rPr>
              <w:t>Année</w:t>
            </w:r>
            <w:r>
              <w:rPr>
                <w:noProof/>
                <w:sz w:val="22"/>
              </w:rPr>
              <w:br/>
            </w:r>
            <w:r>
              <w:rPr>
                <w:b/>
                <w:noProof/>
                <w:sz w:val="20"/>
              </w:rPr>
              <w:t>2023</w:t>
            </w:r>
          </w:p>
        </w:tc>
        <w:tc>
          <w:tcPr>
            <w:tcW w:w="850" w:type="dxa"/>
          </w:tcPr>
          <w:p>
            <w:pPr>
              <w:jc w:val="center"/>
              <w:rPr>
                <w:b/>
                <w:noProof/>
                <w:sz w:val="20"/>
              </w:rPr>
            </w:pPr>
            <w:r>
              <w:rPr>
                <w:noProof/>
                <w:sz w:val="20"/>
              </w:rPr>
              <w:t>Année</w:t>
            </w:r>
            <w:r>
              <w:rPr>
                <w:noProof/>
                <w:sz w:val="22"/>
              </w:rPr>
              <w:br/>
            </w:r>
            <w:r>
              <w:rPr>
                <w:b/>
                <w:noProof/>
                <w:sz w:val="20"/>
              </w:rPr>
              <w:t>2024</w:t>
            </w:r>
          </w:p>
        </w:tc>
        <w:tc>
          <w:tcPr>
            <w:tcW w:w="3005"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27" w:type="dxa"/>
            <w:vAlign w:val="center"/>
          </w:tcPr>
          <w:p>
            <w:pPr>
              <w:spacing w:before="60" w:after="60"/>
              <w:jc w:val="right"/>
              <w:rPr>
                <w:b/>
                <w:noProof/>
                <w:sz w:val="20"/>
              </w:rPr>
            </w:pPr>
            <w:r>
              <w:rPr>
                <w:b/>
                <w:noProof/>
                <w:sz w:val="20"/>
              </w:rPr>
              <w:t>0,06</w:t>
            </w:r>
          </w:p>
        </w:tc>
        <w:tc>
          <w:tcPr>
            <w:tcW w:w="909" w:type="dxa"/>
            <w:vAlign w:val="center"/>
          </w:tcPr>
          <w:p>
            <w:pPr>
              <w:spacing w:before="60" w:after="60"/>
              <w:jc w:val="right"/>
              <w:rPr>
                <w:b/>
                <w:noProof/>
                <w:sz w:val="20"/>
              </w:rPr>
            </w:pPr>
            <w:r>
              <w:rPr>
                <w:b/>
                <w:noProof/>
                <w:sz w:val="20"/>
              </w:rPr>
              <w:t>0,072</w:t>
            </w:r>
          </w:p>
        </w:tc>
        <w:tc>
          <w:tcPr>
            <w:tcW w:w="868" w:type="dxa"/>
            <w:vAlign w:val="center"/>
          </w:tcPr>
          <w:p>
            <w:pPr>
              <w:spacing w:before="60" w:after="60"/>
              <w:jc w:val="right"/>
              <w:rPr>
                <w:b/>
                <w:noProof/>
                <w:sz w:val="20"/>
              </w:rPr>
            </w:pPr>
            <w:r>
              <w:rPr>
                <w:b/>
                <w:noProof/>
                <w:sz w:val="20"/>
              </w:rPr>
              <w:t>0,072</w:t>
            </w:r>
          </w:p>
        </w:tc>
        <w:tc>
          <w:tcPr>
            <w:tcW w:w="868" w:type="dxa"/>
            <w:vAlign w:val="center"/>
          </w:tcPr>
          <w:p>
            <w:pPr>
              <w:spacing w:before="60" w:after="60"/>
              <w:jc w:val="right"/>
              <w:rPr>
                <w:b/>
                <w:noProof/>
                <w:sz w:val="20"/>
              </w:rPr>
            </w:pPr>
            <w:r>
              <w:rPr>
                <w:b/>
                <w:noProof/>
                <w:sz w:val="20"/>
              </w:rPr>
              <w:t>0,072</w:t>
            </w:r>
          </w:p>
        </w:tc>
        <w:tc>
          <w:tcPr>
            <w:tcW w:w="899" w:type="dxa"/>
            <w:vAlign w:val="center"/>
          </w:tcPr>
          <w:p>
            <w:pPr>
              <w:spacing w:before="60" w:after="60"/>
              <w:jc w:val="right"/>
              <w:rPr>
                <w:b/>
                <w:noProof/>
                <w:sz w:val="20"/>
              </w:rPr>
            </w:pPr>
            <w:r>
              <w:rPr>
                <w:b/>
                <w:noProof/>
                <w:sz w:val="20"/>
              </w:rPr>
              <w:t>0,072</w:t>
            </w:r>
          </w:p>
        </w:tc>
        <w:tc>
          <w:tcPr>
            <w:tcW w:w="850" w:type="dxa"/>
            <w:vAlign w:val="center"/>
          </w:tcPr>
          <w:p>
            <w:pPr>
              <w:spacing w:before="60" w:after="60"/>
              <w:jc w:val="right"/>
              <w:rPr>
                <w:b/>
                <w:noProof/>
                <w:sz w:val="20"/>
              </w:rPr>
            </w:pPr>
            <w:r>
              <w:rPr>
                <w:b/>
                <w:noProof/>
                <w:sz w:val="20"/>
              </w:rPr>
              <w:t>0,012</w:t>
            </w:r>
          </w:p>
        </w:tc>
        <w:tc>
          <w:tcPr>
            <w:tcW w:w="3005" w:type="dxa"/>
            <w:vAlign w:val="center"/>
          </w:tcPr>
          <w:p>
            <w:pPr>
              <w:spacing w:before="60" w:after="60"/>
              <w:jc w:val="right"/>
              <w:rPr>
                <w:b/>
                <w:noProof/>
                <w:sz w:val="20"/>
              </w:rPr>
            </w:pPr>
            <w:r>
              <w:rPr>
                <w:b/>
                <w:noProof/>
                <w:sz w:val="20"/>
              </w:rPr>
              <w:t>0,360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27" w:type="dxa"/>
            <w:vAlign w:val="center"/>
          </w:tcPr>
          <w:p>
            <w:pPr>
              <w:spacing w:before="60" w:after="60"/>
              <w:jc w:val="right"/>
              <w:rPr>
                <w:b/>
                <w:noProof/>
                <w:sz w:val="20"/>
              </w:rPr>
            </w:pPr>
            <w:r>
              <w:rPr>
                <w:b/>
                <w:noProof/>
                <w:sz w:val="20"/>
              </w:rPr>
              <w:t>0,06</w:t>
            </w:r>
          </w:p>
        </w:tc>
        <w:tc>
          <w:tcPr>
            <w:tcW w:w="909" w:type="dxa"/>
            <w:vAlign w:val="center"/>
          </w:tcPr>
          <w:p>
            <w:pPr>
              <w:spacing w:before="60" w:after="60"/>
              <w:jc w:val="right"/>
              <w:rPr>
                <w:b/>
                <w:noProof/>
                <w:sz w:val="20"/>
              </w:rPr>
            </w:pPr>
            <w:r>
              <w:rPr>
                <w:b/>
                <w:noProof/>
                <w:sz w:val="20"/>
              </w:rPr>
              <w:t>0,072</w:t>
            </w:r>
          </w:p>
        </w:tc>
        <w:tc>
          <w:tcPr>
            <w:tcW w:w="868" w:type="dxa"/>
            <w:vAlign w:val="center"/>
          </w:tcPr>
          <w:p>
            <w:pPr>
              <w:spacing w:before="60" w:after="60"/>
              <w:jc w:val="right"/>
              <w:rPr>
                <w:b/>
                <w:noProof/>
                <w:sz w:val="20"/>
              </w:rPr>
            </w:pPr>
            <w:r>
              <w:rPr>
                <w:b/>
                <w:noProof/>
                <w:sz w:val="20"/>
              </w:rPr>
              <w:t>0,072</w:t>
            </w:r>
          </w:p>
        </w:tc>
        <w:tc>
          <w:tcPr>
            <w:tcW w:w="868" w:type="dxa"/>
            <w:vAlign w:val="center"/>
          </w:tcPr>
          <w:p>
            <w:pPr>
              <w:spacing w:before="60" w:after="60"/>
              <w:jc w:val="right"/>
              <w:rPr>
                <w:b/>
                <w:noProof/>
                <w:sz w:val="20"/>
              </w:rPr>
            </w:pPr>
            <w:r>
              <w:rPr>
                <w:b/>
                <w:noProof/>
                <w:sz w:val="20"/>
              </w:rPr>
              <w:t>0,072</w:t>
            </w:r>
          </w:p>
        </w:tc>
        <w:tc>
          <w:tcPr>
            <w:tcW w:w="899" w:type="dxa"/>
            <w:vAlign w:val="center"/>
          </w:tcPr>
          <w:p>
            <w:pPr>
              <w:spacing w:before="60" w:after="60"/>
              <w:jc w:val="right"/>
              <w:rPr>
                <w:b/>
                <w:noProof/>
                <w:sz w:val="20"/>
              </w:rPr>
            </w:pPr>
            <w:r>
              <w:rPr>
                <w:b/>
                <w:noProof/>
                <w:sz w:val="20"/>
              </w:rPr>
              <w:t>0,072</w:t>
            </w:r>
          </w:p>
        </w:tc>
        <w:tc>
          <w:tcPr>
            <w:tcW w:w="850" w:type="dxa"/>
            <w:vAlign w:val="center"/>
          </w:tcPr>
          <w:p>
            <w:pPr>
              <w:spacing w:before="60" w:after="60"/>
              <w:jc w:val="right"/>
              <w:rPr>
                <w:b/>
                <w:noProof/>
                <w:sz w:val="20"/>
              </w:rPr>
            </w:pPr>
            <w:r>
              <w:rPr>
                <w:b/>
                <w:noProof/>
                <w:sz w:val="20"/>
              </w:rPr>
              <w:t>0,012</w:t>
            </w:r>
          </w:p>
        </w:tc>
        <w:tc>
          <w:tcPr>
            <w:tcW w:w="3005" w:type="dxa"/>
            <w:vAlign w:val="center"/>
          </w:tcPr>
          <w:p>
            <w:pPr>
              <w:spacing w:before="60" w:after="60"/>
              <w:jc w:val="right"/>
              <w:rPr>
                <w:b/>
                <w:noProof/>
                <w:sz w:val="20"/>
              </w:rPr>
            </w:pPr>
            <w:r>
              <w:rPr>
                <w:b/>
                <w:noProof/>
                <w:sz w:val="20"/>
              </w:rPr>
              <w:t>0,360</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Incidence estimée sur les crédits opérationnels </w:t>
      </w:r>
    </w:p>
    <w:p>
      <w:pPr>
        <w:pStyle w:val="ListDash1"/>
        <w:rPr>
          <w:noProof/>
        </w:rPr>
      </w:pPr>
      <w:r>
        <w:rPr>
          <w:noProof/>
        </w:rPr>
        <w:sym w:font="Wingdings" w:char="F0FE"/>
      </w:r>
      <w:r>
        <w:rPr>
          <w:noProof/>
        </w:rPr>
        <w:tab/>
        <w:t xml:space="preserve">La proposition/l’initiative n’engendre pas l’utilisation de crédits opérationnels </w:t>
      </w:r>
    </w:p>
    <w:p>
      <w:pPr>
        <w:rPr>
          <w:noProof/>
        </w:rPr>
      </w:pPr>
    </w:p>
    <w:p>
      <w:pPr>
        <w:jc w:val="center"/>
        <w:rPr>
          <w:noProof/>
          <w:sz w:val="20"/>
        </w:rPr>
      </w:pPr>
      <w:r>
        <w:rPr>
          <w:noProof/>
          <w:sz w:val="20"/>
        </w:rPr>
        <w:t>Crédits d’engagement en Mio EUR (à la 3</w:t>
      </w:r>
      <w:r>
        <w:rPr>
          <w:noProof/>
          <w:sz w:val="20"/>
          <w:vertAlign w:val="superscript"/>
        </w:rPr>
        <w:t>e</w:t>
      </w:r>
      <w:r>
        <w:rPr>
          <w:noProof/>
          <w:sz w:val="20"/>
        </w:rPr>
        <w:t xml:space="preserv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Année</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Nature</w:t>
            </w:r>
            <w:r>
              <w:rPr>
                <w:rStyle w:val="FootnoteReference"/>
                <w:noProof/>
                <w:sz w:val="18"/>
              </w:rPr>
              <w:footnoteReference w:id="21"/>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1</w:t>
            </w:r>
            <w:r>
              <w:rPr>
                <w:rStyle w:val="FootnoteReference"/>
                <w:noProof/>
                <w:sz w:val="18"/>
              </w:rPr>
              <w:footnoteReference w:id="22"/>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nº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nº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Incidence estimée sur les crédits de nature administrative</w:t>
      </w:r>
    </w:p>
    <w:p>
      <w:pPr>
        <w:pStyle w:val="ManualHeading4"/>
        <w:rPr>
          <w:noProof/>
        </w:rPr>
      </w:pPr>
      <w:r>
        <w:rPr>
          <w:noProof/>
        </w:rPr>
        <w:t>3.2.3.1.</w:t>
      </w:r>
      <w:r>
        <w:rPr>
          <w:noProof/>
        </w:rPr>
        <w:tab/>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E"/>
      </w:r>
      <w:r>
        <w:rPr>
          <w:noProof/>
        </w:rPr>
        <w:tab/>
        <w:t>La proposition/l'initiative engendre l'utilisation de crédits de nature administrative, comme expliqué ci-après:</w:t>
      </w:r>
    </w:p>
    <w:p>
      <w:pPr>
        <w:pStyle w:val="Text1"/>
        <w:rPr>
          <w:noProof/>
        </w:rPr>
      </w:pPr>
    </w:p>
    <w:p>
      <w:pPr>
        <w:jc w:val="center"/>
        <w:rPr>
          <w:noProof/>
          <w:sz w:val="20"/>
        </w:rPr>
      </w:pPr>
      <w:r>
        <w:rPr>
          <w:noProof/>
          <w:sz w:val="20"/>
        </w:rPr>
        <w:t>En Mio EUR (à la 3</w:t>
      </w:r>
      <w:r>
        <w:rPr>
          <w:noProof/>
          <w:sz w:val="20"/>
          <w:vertAlign w:val="superscript"/>
        </w:rPr>
        <w:t>e</w:t>
      </w:r>
      <w:r>
        <w:rPr>
          <w:noProof/>
          <w:sz w:val="20"/>
        </w:rPr>
        <w:t xml:space="preserve"> décimale)</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2019</w:t>
            </w:r>
            <w:r>
              <w:rPr>
                <w:rStyle w:val="FootnoteReference"/>
                <w:b/>
                <w:noProof/>
                <w:sz w:val="16"/>
              </w:rPr>
              <w:footnoteReference w:id="23"/>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2021</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2022</w:t>
            </w:r>
          </w:p>
        </w:tc>
        <w:tc>
          <w:tcPr>
            <w:tcW w:w="1080" w:type="dxa"/>
          </w:tcPr>
          <w:p>
            <w:pPr>
              <w:spacing w:before="60" w:after="60" w:line="200" w:lineRule="exact"/>
              <w:jc w:val="center"/>
              <w:rPr>
                <w:b/>
                <w:noProof/>
                <w:sz w:val="16"/>
              </w:rPr>
            </w:pPr>
            <w:r>
              <w:rPr>
                <w:noProof/>
                <w:sz w:val="16"/>
              </w:rPr>
              <w:t>Année</w:t>
            </w:r>
            <w:r>
              <w:rPr>
                <w:noProof/>
                <w:sz w:val="22"/>
              </w:rPr>
              <w:br/>
            </w:r>
            <w:r>
              <w:rPr>
                <w:b/>
                <w:noProof/>
                <w:sz w:val="16"/>
              </w:rPr>
              <w:t>2023</w:t>
            </w:r>
          </w:p>
        </w:tc>
        <w:tc>
          <w:tcPr>
            <w:tcW w:w="1080" w:type="dxa"/>
          </w:tcPr>
          <w:p>
            <w:pPr>
              <w:spacing w:before="60" w:after="60" w:line="200" w:lineRule="exact"/>
              <w:jc w:val="center"/>
              <w:rPr>
                <w:b/>
                <w:noProof/>
                <w:sz w:val="16"/>
              </w:rPr>
            </w:pPr>
            <w:r>
              <w:rPr>
                <w:noProof/>
                <w:sz w:val="16"/>
              </w:rPr>
              <w:t>Année</w:t>
            </w:r>
            <w:r>
              <w:rPr>
                <w:noProof/>
                <w:sz w:val="22"/>
              </w:rPr>
              <w:br/>
            </w:r>
            <w:r>
              <w:rPr>
                <w:b/>
                <w:noProof/>
                <w:sz w:val="16"/>
              </w:rPr>
              <w:t>2024</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de nature administrative </w:t>
            </w: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24"/>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pStyle w:val="Default"/>
              <w:jc w:val="right"/>
              <w:rPr>
                <w:noProof/>
                <w:sz w:val="20"/>
                <w:szCs w:val="20"/>
              </w:rPr>
            </w:pPr>
            <w:r>
              <w:rPr>
                <w:b/>
                <w:noProof/>
                <w:sz w:val="20"/>
              </w:rPr>
              <w:t>0,050</w:t>
            </w:r>
          </w:p>
        </w:tc>
        <w:tc>
          <w:tcPr>
            <w:tcW w:w="1080" w:type="dxa"/>
            <w:vAlign w:val="center"/>
          </w:tcPr>
          <w:p>
            <w:pPr>
              <w:pStyle w:val="Default"/>
              <w:jc w:val="right"/>
              <w:rPr>
                <w:noProof/>
                <w:sz w:val="20"/>
                <w:szCs w:val="20"/>
              </w:rPr>
            </w:pPr>
            <w:r>
              <w:rPr>
                <w:b/>
                <w:noProof/>
                <w:sz w:val="20"/>
              </w:rPr>
              <w:t>0,060</w:t>
            </w:r>
          </w:p>
        </w:tc>
        <w:tc>
          <w:tcPr>
            <w:tcW w:w="1080" w:type="dxa"/>
            <w:vAlign w:val="center"/>
          </w:tcPr>
          <w:p>
            <w:pPr>
              <w:pStyle w:val="Default"/>
              <w:jc w:val="right"/>
              <w:rPr>
                <w:noProof/>
                <w:sz w:val="20"/>
                <w:szCs w:val="20"/>
              </w:rPr>
            </w:pPr>
            <w:r>
              <w:rPr>
                <w:b/>
                <w:noProof/>
                <w:sz w:val="20"/>
              </w:rPr>
              <w:t>0,060</w:t>
            </w:r>
          </w:p>
        </w:tc>
        <w:tc>
          <w:tcPr>
            <w:tcW w:w="1080" w:type="dxa"/>
            <w:vAlign w:val="center"/>
          </w:tcPr>
          <w:p>
            <w:pPr>
              <w:pStyle w:val="Default"/>
              <w:jc w:val="right"/>
              <w:rPr>
                <w:b/>
                <w:bCs/>
                <w:noProof/>
                <w:sz w:val="20"/>
                <w:szCs w:val="20"/>
              </w:rPr>
            </w:pPr>
            <w:r>
              <w:rPr>
                <w:b/>
                <w:noProof/>
                <w:sz w:val="20"/>
              </w:rPr>
              <w:t>0,060</w:t>
            </w:r>
          </w:p>
        </w:tc>
        <w:tc>
          <w:tcPr>
            <w:tcW w:w="1080" w:type="dxa"/>
            <w:vAlign w:val="center"/>
          </w:tcPr>
          <w:p>
            <w:pPr>
              <w:pStyle w:val="Default"/>
              <w:jc w:val="right"/>
              <w:rPr>
                <w:b/>
                <w:noProof/>
                <w:sz w:val="20"/>
                <w:szCs w:val="20"/>
              </w:rPr>
            </w:pPr>
            <w:r>
              <w:rPr>
                <w:b/>
                <w:noProof/>
                <w:sz w:val="20"/>
              </w:rPr>
              <w:t>0,060</w:t>
            </w:r>
          </w:p>
        </w:tc>
        <w:tc>
          <w:tcPr>
            <w:tcW w:w="1080" w:type="dxa"/>
            <w:vAlign w:val="center"/>
          </w:tcPr>
          <w:p>
            <w:pPr>
              <w:pStyle w:val="Default"/>
              <w:jc w:val="right"/>
              <w:rPr>
                <w:b/>
                <w:noProof/>
                <w:sz w:val="20"/>
                <w:szCs w:val="20"/>
              </w:rPr>
            </w:pPr>
            <w:r>
              <w:rPr>
                <w:b/>
                <w:noProof/>
                <w:sz w:val="20"/>
              </w:rPr>
              <w:t>0,010</w:t>
            </w:r>
          </w:p>
        </w:tc>
        <w:tc>
          <w:tcPr>
            <w:tcW w:w="1080" w:type="dxa"/>
            <w:vAlign w:val="center"/>
          </w:tcPr>
          <w:p>
            <w:pPr>
              <w:pStyle w:val="Default"/>
              <w:jc w:val="right"/>
              <w:rPr>
                <w:b/>
                <w:noProof/>
                <w:sz w:val="20"/>
                <w:szCs w:val="20"/>
              </w:rPr>
            </w:pPr>
            <w:r>
              <w:rPr>
                <w:b/>
                <w:noProof/>
                <w:sz w:val="20"/>
              </w:rPr>
              <w:t>0,300</w:t>
            </w: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r>
              <w:rPr>
                <w:b/>
                <w:noProof/>
                <w:sz w:val="20"/>
              </w:rPr>
              <w:t>0,010</w:t>
            </w:r>
          </w:p>
        </w:tc>
        <w:tc>
          <w:tcPr>
            <w:tcW w:w="1080" w:type="dxa"/>
            <w:vAlign w:val="center"/>
          </w:tcPr>
          <w:p>
            <w:pPr>
              <w:spacing w:before="60" w:after="60" w:line="200" w:lineRule="exact"/>
              <w:jc w:val="right"/>
              <w:rPr>
                <w:noProof/>
                <w:sz w:val="16"/>
                <w:szCs w:val="16"/>
              </w:rPr>
            </w:pPr>
            <w:r>
              <w:rPr>
                <w:b/>
                <w:noProof/>
                <w:sz w:val="20"/>
              </w:rPr>
              <w:t>0,012</w:t>
            </w:r>
          </w:p>
        </w:tc>
        <w:tc>
          <w:tcPr>
            <w:tcW w:w="1080" w:type="dxa"/>
            <w:vAlign w:val="center"/>
          </w:tcPr>
          <w:p>
            <w:pPr>
              <w:spacing w:before="60" w:after="60" w:line="200" w:lineRule="exact"/>
              <w:jc w:val="right"/>
              <w:rPr>
                <w:noProof/>
                <w:sz w:val="16"/>
                <w:szCs w:val="16"/>
              </w:rPr>
            </w:pPr>
            <w:r>
              <w:rPr>
                <w:b/>
                <w:noProof/>
                <w:sz w:val="20"/>
              </w:rPr>
              <w:t>0,012</w:t>
            </w:r>
          </w:p>
        </w:tc>
        <w:tc>
          <w:tcPr>
            <w:tcW w:w="1080" w:type="dxa"/>
            <w:vAlign w:val="center"/>
          </w:tcPr>
          <w:p>
            <w:pPr>
              <w:spacing w:before="60" w:after="60" w:line="200" w:lineRule="exact"/>
              <w:jc w:val="right"/>
              <w:rPr>
                <w:noProof/>
                <w:sz w:val="16"/>
                <w:szCs w:val="16"/>
              </w:rPr>
            </w:pPr>
            <w:r>
              <w:rPr>
                <w:b/>
                <w:noProof/>
                <w:sz w:val="20"/>
              </w:rPr>
              <w:t>0,012</w:t>
            </w:r>
          </w:p>
        </w:tc>
        <w:tc>
          <w:tcPr>
            <w:tcW w:w="1080" w:type="dxa"/>
            <w:vAlign w:val="center"/>
          </w:tcPr>
          <w:p>
            <w:pPr>
              <w:spacing w:before="60" w:after="60" w:line="200" w:lineRule="exact"/>
              <w:jc w:val="right"/>
              <w:rPr>
                <w:noProof/>
                <w:sz w:val="16"/>
                <w:szCs w:val="16"/>
              </w:rPr>
            </w:pPr>
            <w:r>
              <w:rPr>
                <w:b/>
                <w:noProof/>
                <w:sz w:val="20"/>
              </w:rPr>
              <w:t>0,012</w:t>
            </w:r>
          </w:p>
        </w:tc>
        <w:tc>
          <w:tcPr>
            <w:tcW w:w="1080" w:type="dxa"/>
            <w:vAlign w:val="center"/>
          </w:tcPr>
          <w:p>
            <w:pPr>
              <w:spacing w:before="60" w:after="60" w:line="200" w:lineRule="exact"/>
              <w:jc w:val="right"/>
              <w:rPr>
                <w:noProof/>
                <w:sz w:val="16"/>
                <w:szCs w:val="16"/>
              </w:rPr>
            </w:pPr>
            <w:r>
              <w:rPr>
                <w:b/>
                <w:noProof/>
                <w:sz w:val="20"/>
              </w:rPr>
              <w:t>0,002</w:t>
            </w:r>
          </w:p>
        </w:tc>
        <w:tc>
          <w:tcPr>
            <w:tcW w:w="1080" w:type="dxa"/>
            <w:vAlign w:val="center"/>
          </w:tcPr>
          <w:p>
            <w:pPr>
              <w:spacing w:before="60" w:after="60" w:line="200" w:lineRule="exact"/>
              <w:jc w:val="right"/>
              <w:rPr>
                <w:b/>
                <w:noProof/>
                <w:sz w:val="16"/>
                <w:szCs w:val="16"/>
              </w:rPr>
            </w:pPr>
            <w:r>
              <w:rPr>
                <w:b/>
                <w:noProof/>
                <w:sz w:val="20"/>
              </w:rPr>
              <w:t>0,060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pPr>
              <w:pStyle w:val="Default"/>
              <w:jc w:val="right"/>
              <w:rPr>
                <w:noProof/>
                <w:sz w:val="20"/>
                <w:szCs w:val="20"/>
              </w:rPr>
            </w:pPr>
            <w:r>
              <w:rPr>
                <w:b/>
                <w:noProof/>
                <w:sz w:val="20"/>
              </w:rPr>
              <w:t>0,060</w:t>
            </w:r>
          </w:p>
        </w:tc>
        <w:tc>
          <w:tcPr>
            <w:tcW w:w="1080" w:type="dxa"/>
            <w:vAlign w:val="center"/>
          </w:tcPr>
          <w:p>
            <w:pPr>
              <w:pStyle w:val="Default"/>
              <w:jc w:val="right"/>
              <w:rPr>
                <w:noProof/>
                <w:sz w:val="20"/>
                <w:szCs w:val="20"/>
              </w:rPr>
            </w:pPr>
            <w:r>
              <w:rPr>
                <w:b/>
                <w:noProof/>
                <w:sz w:val="20"/>
              </w:rPr>
              <w:t>0,072</w:t>
            </w:r>
          </w:p>
        </w:tc>
        <w:tc>
          <w:tcPr>
            <w:tcW w:w="1080" w:type="dxa"/>
            <w:vAlign w:val="center"/>
          </w:tcPr>
          <w:p>
            <w:pPr>
              <w:pStyle w:val="Default"/>
              <w:jc w:val="right"/>
              <w:rPr>
                <w:noProof/>
                <w:sz w:val="20"/>
                <w:szCs w:val="20"/>
              </w:rPr>
            </w:pPr>
            <w:r>
              <w:rPr>
                <w:b/>
                <w:noProof/>
                <w:sz w:val="20"/>
              </w:rPr>
              <w:t>0,072</w:t>
            </w:r>
          </w:p>
        </w:tc>
        <w:tc>
          <w:tcPr>
            <w:tcW w:w="1080" w:type="dxa"/>
            <w:vAlign w:val="center"/>
          </w:tcPr>
          <w:p>
            <w:pPr>
              <w:pStyle w:val="Default"/>
              <w:jc w:val="right"/>
              <w:rPr>
                <w:b/>
                <w:bCs/>
                <w:noProof/>
                <w:sz w:val="20"/>
                <w:szCs w:val="20"/>
              </w:rPr>
            </w:pPr>
            <w:r>
              <w:rPr>
                <w:b/>
                <w:noProof/>
                <w:sz w:val="20"/>
              </w:rPr>
              <w:t>0,072</w:t>
            </w:r>
          </w:p>
        </w:tc>
        <w:tc>
          <w:tcPr>
            <w:tcW w:w="1080" w:type="dxa"/>
            <w:vAlign w:val="center"/>
          </w:tcPr>
          <w:p>
            <w:pPr>
              <w:pStyle w:val="Default"/>
              <w:jc w:val="right"/>
              <w:rPr>
                <w:b/>
                <w:noProof/>
                <w:sz w:val="20"/>
                <w:szCs w:val="20"/>
              </w:rPr>
            </w:pPr>
            <w:r>
              <w:rPr>
                <w:b/>
                <w:noProof/>
                <w:sz w:val="20"/>
              </w:rPr>
              <w:t>0,072</w:t>
            </w:r>
          </w:p>
        </w:tc>
        <w:tc>
          <w:tcPr>
            <w:tcW w:w="1080" w:type="dxa"/>
            <w:vAlign w:val="center"/>
          </w:tcPr>
          <w:p>
            <w:pPr>
              <w:pStyle w:val="Default"/>
              <w:jc w:val="right"/>
              <w:rPr>
                <w:b/>
                <w:noProof/>
                <w:sz w:val="20"/>
                <w:szCs w:val="20"/>
              </w:rPr>
            </w:pPr>
            <w:r>
              <w:rPr>
                <w:b/>
                <w:noProof/>
                <w:sz w:val="20"/>
              </w:rPr>
              <w:t>0,012</w:t>
            </w:r>
          </w:p>
        </w:tc>
        <w:tc>
          <w:tcPr>
            <w:tcW w:w="1080" w:type="dxa"/>
            <w:vAlign w:val="center"/>
          </w:tcPr>
          <w:p>
            <w:pPr>
              <w:pStyle w:val="Default"/>
              <w:jc w:val="right"/>
              <w:rPr>
                <w:b/>
                <w:noProof/>
                <w:sz w:val="20"/>
                <w:szCs w:val="20"/>
              </w:rPr>
            </w:pPr>
            <w:r>
              <w:rPr>
                <w:b/>
                <w:noProof/>
                <w:sz w:val="20"/>
              </w:rPr>
              <w:t>0,360</w:t>
            </w:r>
          </w:p>
        </w:tc>
      </w:tr>
    </w:tbl>
    <w:p>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0,060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0,012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highlight w:val="yellow"/>
              </w:rPr>
            </w:pPr>
            <w:r>
              <w:rPr>
                <w:b/>
                <w:noProof/>
                <w:sz w:val="20"/>
              </w:rPr>
              <w:t>0,360</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pPr>
        <w:pStyle w:val="ManualHeading4"/>
        <w:rPr>
          <w:bCs/>
          <w:noProof/>
          <w:szCs w:val="24"/>
        </w:rPr>
      </w:pPr>
      <w:r>
        <w:rPr>
          <w:noProof/>
        </w:rPr>
        <w:t>3.2.3.2.</w:t>
      </w:r>
      <w:r>
        <w:rPr>
          <w:noProof/>
        </w:rPr>
        <w:tab/>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46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72"/>
        <w:gridCol w:w="2002"/>
        <w:gridCol w:w="601"/>
        <w:gridCol w:w="839"/>
        <w:gridCol w:w="841"/>
        <w:gridCol w:w="721"/>
        <w:gridCol w:w="636"/>
        <w:gridCol w:w="321"/>
        <w:gridCol w:w="956"/>
      </w:tblGrid>
      <w:tr>
        <w:trPr>
          <w:trHeight w:val="289"/>
          <w:jc w:val="center"/>
        </w:trPr>
        <w:tc>
          <w:tcPr>
            <w:tcW w:w="2171" w:type="pct"/>
            <w:gridSpan w:val="2"/>
            <w:shd w:val="clear" w:color="auto" w:fill="auto"/>
          </w:tcPr>
          <w:p>
            <w:pPr>
              <w:pStyle w:val="Text1"/>
              <w:spacing w:before="40" w:after="40"/>
              <w:ind w:left="0"/>
              <w:jc w:val="center"/>
              <w:rPr>
                <w:i/>
                <w:noProof/>
                <w:sz w:val="16"/>
                <w:szCs w:val="16"/>
              </w:rPr>
            </w:pPr>
          </w:p>
        </w:tc>
        <w:tc>
          <w:tcPr>
            <w:tcW w:w="346"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2019</w:t>
            </w:r>
          </w:p>
        </w:tc>
        <w:tc>
          <w:tcPr>
            <w:tcW w:w="483"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2020</w:t>
            </w:r>
          </w:p>
        </w:tc>
        <w:tc>
          <w:tcPr>
            <w:tcW w:w="484" w:type="pct"/>
            <w:shd w:val="clear" w:color="auto" w:fill="auto"/>
            <w:vAlign w:val="center"/>
          </w:tcPr>
          <w:p>
            <w:pPr>
              <w:spacing w:before="20" w:after="20"/>
              <w:jc w:val="center"/>
              <w:rPr>
                <w:noProof/>
                <w:sz w:val="16"/>
                <w:szCs w:val="16"/>
              </w:rPr>
            </w:pPr>
            <w:r>
              <w:rPr>
                <w:noProof/>
                <w:sz w:val="16"/>
              </w:rPr>
              <w:t>Année</w:t>
            </w:r>
          </w:p>
          <w:p>
            <w:pPr>
              <w:spacing w:before="20" w:after="20"/>
              <w:jc w:val="center"/>
              <w:rPr>
                <w:noProof/>
                <w:sz w:val="16"/>
                <w:szCs w:val="16"/>
              </w:rPr>
            </w:pPr>
            <w:r>
              <w:rPr>
                <w:b/>
                <w:noProof/>
                <w:sz w:val="16"/>
              </w:rPr>
              <w:t>2021</w:t>
            </w:r>
          </w:p>
        </w:tc>
        <w:tc>
          <w:tcPr>
            <w:tcW w:w="415" w:type="pct"/>
            <w:shd w:val="clear" w:color="auto" w:fill="auto"/>
            <w:vAlign w:val="center"/>
          </w:tcPr>
          <w:p>
            <w:pPr>
              <w:spacing w:before="20" w:after="20"/>
              <w:jc w:val="center"/>
              <w:rPr>
                <w:noProof/>
                <w:sz w:val="16"/>
                <w:szCs w:val="16"/>
              </w:rPr>
            </w:pPr>
            <w:r>
              <w:rPr>
                <w:noProof/>
                <w:sz w:val="16"/>
              </w:rPr>
              <w:t>Année</w:t>
            </w:r>
          </w:p>
          <w:p>
            <w:pPr>
              <w:spacing w:before="20" w:after="20"/>
              <w:jc w:val="center"/>
              <w:rPr>
                <w:noProof/>
                <w:sz w:val="16"/>
                <w:szCs w:val="16"/>
              </w:rPr>
            </w:pPr>
            <w:r>
              <w:rPr>
                <w:b/>
                <w:noProof/>
                <w:sz w:val="16"/>
              </w:rPr>
              <w:t>2022</w:t>
            </w:r>
          </w:p>
        </w:tc>
        <w:tc>
          <w:tcPr>
            <w:tcW w:w="551" w:type="pct"/>
            <w:gridSpan w:val="2"/>
            <w:vAlign w:val="center"/>
          </w:tcPr>
          <w:p>
            <w:pPr>
              <w:spacing w:before="20" w:after="20"/>
              <w:jc w:val="center"/>
              <w:rPr>
                <w:noProof/>
                <w:sz w:val="16"/>
                <w:szCs w:val="16"/>
              </w:rPr>
            </w:pPr>
            <w:r>
              <w:rPr>
                <w:noProof/>
                <w:sz w:val="16"/>
              </w:rPr>
              <w:t>Année</w:t>
            </w:r>
          </w:p>
          <w:p>
            <w:pPr>
              <w:jc w:val="center"/>
              <w:rPr>
                <w:b/>
                <w:noProof/>
                <w:sz w:val="16"/>
              </w:rPr>
            </w:pPr>
            <w:r>
              <w:rPr>
                <w:b/>
                <w:noProof/>
                <w:sz w:val="16"/>
              </w:rPr>
              <w:t>2023</w:t>
            </w:r>
          </w:p>
        </w:tc>
        <w:tc>
          <w:tcPr>
            <w:tcW w:w="551" w:type="pct"/>
            <w:shd w:val="clear" w:color="auto" w:fill="auto"/>
            <w:vAlign w:val="center"/>
          </w:tcPr>
          <w:p>
            <w:pPr>
              <w:spacing w:before="20" w:after="20"/>
              <w:jc w:val="center"/>
              <w:rPr>
                <w:noProof/>
                <w:sz w:val="16"/>
                <w:szCs w:val="16"/>
              </w:rPr>
            </w:pPr>
            <w:r>
              <w:rPr>
                <w:noProof/>
                <w:sz w:val="16"/>
              </w:rPr>
              <w:t>Année</w:t>
            </w:r>
          </w:p>
          <w:p>
            <w:pPr>
              <w:jc w:val="center"/>
              <w:rPr>
                <w:b/>
                <w:noProof/>
                <w:sz w:val="16"/>
                <w:szCs w:val="16"/>
              </w:rPr>
            </w:pPr>
            <w:r>
              <w:rPr>
                <w:b/>
                <w:noProof/>
                <w:sz w:val="16"/>
              </w:rPr>
              <w:t>2024</w:t>
            </w:r>
          </w:p>
        </w:tc>
      </w:tr>
      <w:tr>
        <w:trPr>
          <w:trHeight w:val="289"/>
          <w:jc w:val="center"/>
        </w:trPr>
        <w:tc>
          <w:tcPr>
            <w:tcW w:w="3483" w:type="pct"/>
            <w:gridSpan w:val="5"/>
            <w:shd w:val="clear" w:color="auto" w:fill="auto"/>
          </w:tcPr>
          <w:p>
            <w:pPr>
              <w:spacing w:before="20" w:after="20"/>
              <w:rPr>
                <w:noProof/>
                <w:sz w:val="16"/>
                <w:szCs w:val="16"/>
              </w:rPr>
            </w:pPr>
            <w:r>
              <w:rPr>
                <w:b/>
                <w:noProof/>
                <w:sz w:val="16"/>
              </w:rPr>
              <w:sym w:font="Wingdings" w:char="F09F"/>
            </w:r>
            <w:r>
              <w:rPr>
                <w:b/>
                <w:noProof/>
                <w:sz w:val="16"/>
              </w:rPr>
              <w:t>Emplois du tableau des effectifs (fonctionnaires et agents temporaires)</w:t>
            </w:r>
          </w:p>
        </w:tc>
        <w:tc>
          <w:tcPr>
            <w:tcW w:w="415" w:type="pct"/>
            <w:shd w:val="clear" w:color="auto" w:fill="auto"/>
            <w:vAlign w:val="center"/>
          </w:tcPr>
          <w:p>
            <w:pPr>
              <w:spacing w:before="20" w:after="20"/>
              <w:jc w:val="center"/>
              <w:rPr>
                <w:noProof/>
                <w:sz w:val="16"/>
                <w:szCs w:val="16"/>
              </w:rPr>
            </w:pPr>
          </w:p>
        </w:tc>
        <w:tc>
          <w:tcPr>
            <w:tcW w:w="551" w:type="pct"/>
            <w:gridSpan w:val="2"/>
          </w:tcPr>
          <w:p>
            <w:pPr>
              <w:jc w:val="center"/>
              <w:rPr>
                <w:noProof/>
                <w:sz w:val="16"/>
                <w:szCs w:val="16"/>
              </w:rPr>
            </w:pPr>
          </w:p>
        </w:tc>
        <w:tc>
          <w:tcPr>
            <w:tcW w:w="551" w:type="pct"/>
            <w:shd w:val="clear" w:color="auto" w:fill="auto"/>
            <w:vAlign w:val="center"/>
          </w:tcPr>
          <w:p>
            <w:pPr>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08 01 05 01 (recherche indirecte)</w:t>
            </w:r>
          </w:p>
        </w:tc>
        <w:tc>
          <w:tcPr>
            <w:tcW w:w="346" w:type="pct"/>
            <w:shd w:val="clear" w:color="auto" w:fill="auto"/>
            <w:vAlign w:val="center"/>
          </w:tcPr>
          <w:p>
            <w:pPr>
              <w:spacing w:beforeLines="20" w:before="48" w:afterLines="20" w:after="48"/>
              <w:jc w:val="center"/>
              <w:rPr>
                <w:noProof/>
                <w:sz w:val="16"/>
                <w:szCs w:val="16"/>
              </w:rPr>
            </w:pPr>
            <w:r>
              <w:rPr>
                <w:noProof/>
                <w:sz w:val="16"/>
              </w:rPr>
              <w:t>0,4</w:t>
            </w:r>
          </w:p>
        </w:tc>
        <w:tc>
          <w:tcPr>
            <w:tcW w:w="483" w:type="pct"/>
            <w:shd w:val="clear" w:color="auto" w:fill="auto"/>
            <w:vAlign w:val="center"/>
          </w:tcPr>
          <w:p>
            <w:pPr>
              <w:spacing w:beforeLines="20" w:before="48" w:afterLines="20" w:after="48"/>
              <w:jc w:val="center"/>
              <w:rPr>
                <w:noProof/>
                <w:sz w:val="16"/>
                <w:szCs w:val="16"/>
              </w:rPr>
            </w:pPr>
            <w:r>
              <w:rPr>
                <w:noProof/>
                <w:sz w:val="16"/>
              </w:rPr>
              <w:t>0,5</w:t>
            </w:r>
          </w:p>
        </w:tc>
        <w:tc>
          <w:tcPr>
            <w:tcW w:w="484" w:type="pct"/>
            <w:shd w:val="clear" w:color="auto" w:fill="auto"/>
            <w:vAlign w:val="center"/>
          </w:tcPr>
          <w:p>
            <w:pPr>
              <w:spacing w:beforeLines="20" w:before="48" w:afterLines="20" w:after="48"/>
              <w:jc w:val="center"/>
              <w:rPr>
                <w:noProof/>
                <w:sz w:val="16"/>
                <w:szCs w:val="16"/>
              </w:rPr>
            </w:pPr>
            <w:r>
              <w:rPr>
                <w:noProof/>
                <w:sz w:val="16"/>
              </w:rPr>
              <w:t>0,5</w:t>
            </w:r>
          </w:p>
        </w:tc>
        <w:tc>
          <w:tcPr>
            <w:tcW w:w="415" w:type="pct"/>
            <w:shd w:val="clear" w:color="auto" w:fill="auto"/>
            <w:vAlign w:val="center"/>
          </w:tcPr>
          <w:p>
            <w:pPr>
              <w:spacing w:beforeLines="20" w:before="48" w:afterLines="20" w:after="48"/>
              <w:jc w:val="center"/>
              <w:rPr>
                <w:noProof/>
                <w:sz w:val="16"/>
                <w:szCs w:val="16"/>
              </w:rPr>
            </w:pPr>
            <w:r>
              <w:rPr>
                <w:noProof/>
                <w:sz w:val="16"/>
              </w:rPr>
              <w:t>0,5</w:t>
            </w:r>
          </w:p>
        </w:tc>
        <w:tc>
          <w:tcPr>
            <w:tcW w:w="551" w:type="pct"/>
            <w:gridSpan w:val="2"/>
          </w:tcPr>
          <w:p>
            <w:pPr>
              <w:spacing w:beforeLines="20" w:before="48" w:afterLines="20" w:after="48"/>
              <w:jc w:val="center"/>
              <w:rPr>
                <w:noProof/>
                <w:sz w:val="16"/>
                <w:szCs w:val="16"/>
              </w:rPr>
            </w:pPr>
            <w:r>
              <w:rPr>
                <w:noProof/>
                <w:sz w:val="16"/>
              </w:rPr>
              <w:t>0,5</w:t>
            </w:r>
          </w:p>
        </w:tc>
        <w:tc>
          <w:tcPr>
            <w:tcW w:w="551" w:type="pct"/>
            <w:shd w:val="clear" w:color="auto" w:fill="auto"/>
            <w:vAlign w:val="center"/>
          </w:tcPr>
          <w:p>
            <w:pPr>
              <w:spacing w:beforeLines="20" w:before="48" w:afterLines="20" w:after="48"/>
              <w:jc w:val="center"/>
              <w:rPr>
                <w:noProof/>
                <w:sz w:val="16"/>
                <w:szCs w:val="16"/>
              </w:rPr>
            </w:pPr>
            <w:r>
              <w:rPr>
                <w:noProof/>
                <w:sz w:val="16"/>
              </w:rPr>
              <w:t>0,1</w:t>
            </w:r>
          </w:p>
        </w:tc>
      </w:tr>
      <w:tr>
        <w:trPr>
          <w:trHeight w:val="289"/>
          <w:jc w:val="center"/>
        </w:trPr>
        <w:tc>
          <w:tcPr>
            <w:tcW w:w="217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gridAfter w:val="2"/>
          <w:wAfter w:w="736" w:type="pct"/>
          <w:trHeight w:val="248"/>
          <w:jc w:val="center"/>
        </w:trPr>
        <w:tc>
          <w:tcPr>
            <w:tcW w:w="3483"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Personnel externe (en équivalents temps plein: ETP)</w:t>
            </w:r>
            <w:r>
              <w:rPr>
                <w:rStyle w:val="FootnoteReference"/>
                <w:b/>
                <w:noProof/>
                <w:sz w:val="16"/>
              </w:rPr>
              <w:footnoteReference w:id="25"/>
            </w:r>
          </w:p>
          <w:p>
            <w:pPr>
              <w:pStyle w:val="Text1"/>
              <w:spacing w:before="0" w:after="0"/>
              <w:ind w:left="0"/>
              <w:jc w:val="left"/>
              <w:rPr>
                <w:noProof/>
                <w:sz w:val="16"/>
                <w:szCs w:val="16"/>
              </w:rPr>
            </w:pPr>
          </w:p>
        </w:tc>
        <w:tc>
          <w:tcPr>
            <w:tcW w:w="781" w:type="pct"/>
            <w:gridSpan w:val="2"/>
          </w:tcPr>
          <w:p>
            <w:pPr>
              <w:pStyle w:val="Text1"/>
              <w:spacing w:before="60" w:after="60"/>
              <w:ind w:left="0"/>
              <w:jc w:val="left"/>
              <w:rPr>
                <w:b/>
                <w:noProof/>
                <w:sz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1019"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6"/>
            </w:r>
          </w:p>
          <w:p>
            <w:pPr>
              <w:pStyle w:val="Text1"/>
              <w:spacing w:beforeLines="20" w:before="48" w:afterLines="20" w:after="48"/>
              <w:ind w:left="136"/>
              <w:jc w:val="left"/>
              <w:rPr>
                <w:b/>
                <w:noProof/>
                <w:sz w:val="16"/>
                <w:szCs w:val="16"/>
              </w:rPr>
            </w:pPr>
          </w:p>
        </w:tc>
        <w:tc>
          <w:tcPr>
            <w:tcW w:w="1151"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46" w:type="pct"/>
            <w:shd w:val="clear" w:color="auto" w:fill="auto"/>
            <w:vAlign w:val="center"/>
          </w:tcPr>
          <w:p>
            <w:pPr>
              <w:pStyle w:val="Text1"/>
              <w:spacing w:beforeLines="20" w:before="48" w:afterLines="20" w:after="48"/>
              <w:ind w:left="0"/>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1019" w:type="pct"/>
            <w:vMerge/>
            <w:shd w:val="clear" w:color="auto" w:fill="auto"/>
            <w:vAlign w:val="center"/>
          </w:tcPr>
          <w:p>
            <w:pPr>
              <w:pStyle w:val="Text1"/>
              <w:spacing w:beforeLines="20" w:before="48" w:afterLines="20" w:after="48"/>
              <w:ind w:left="136"/>
              <w:jc w:val="left"/>
              <w:rPr>
                <w:b/>
                <w:noProof/>
                <w:sz w:val="16"/>
                <w:szCs w:val="16"/>
              </w:rPr>
            </w:pPr>
          </w:p>
        </w:tc>
        <w:tc>
          <w:tcPr>
            <w:tcW w:w="1151"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46" w:type="pct"/>
            <w:shd w:val="clear" w:color="auto" w:fill="auto"/>
            <w:vAlign w:val="center"/>
          </w:tcPr>
          <w:p>
            <w:pPr>
              <w:pStyle w:val="Text1"/>
              <w:spacing w:beforeLines="20" w:before="48" w:afterLines="20" w:after="48"/>
              <w:ind w:left="0"/>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34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8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8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51" w:type="pct"/>
            <w:gridSpan w:val="2"/>
            <w:tcBorders>
              <w:bottom w:val="double" w:sz="4" w:space="0" w:color="auto"/>
            </w:tcBorders>
          </w:tcPr>
          <w:p>
            <w:pPr>
              <w:spacing w:beforeLines="20" w:before="48" w:afterLines="20" w:after="48"/>
              <w:jc w:val="center"/>
              <w:rPr>
                <w:noProof/>
                <w:sz w:val="16"/>
                <w:szCs w:val="16"/>
              </w:rPr>
            </w:pPr>
          </w:p>
        </w:tc>
        <w:tc>
          <w:tcPr>
            <w:tcW w:w="551"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46"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0,4</w:t>
            </w:r>
          </w:p>
        </w:tc>
        <w:tc>
          <w:tcPr>
            <w:tcW w:w="483"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0,5</w:t>
            </w:r>
          </w:p>
        </w:tc>
        <w:tc>
          <w:tcPr>
            <w:tcW w:w="484"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0,5</w:t>
            </w:r>
          </w:p>
        </w:tc>
        <w:tc>
          <w:tcPr>
            <w:tcW w:w="415"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0,5</w:t>
            </w:r>
          </w:p>
        </w:tc>
        <w:tc>
          <w:tcPr>
            <w:tcW w:w="551" w:type="pct"/>
            <w:gridSpan w:val="2"/>
            <w:tcBorders>
              <w:top w:val="double" w:sz="4" w:space="0" w:color="auto"/>
            </w:tcBorders>
          </w:tcPr>
          <w:p>
            <w:pPr>
              <w:spacing w:beforeLines="20" w:before="48" w:afterLines="20" w:after="48"/>
              <w:jc w:val="center"/>
              <w:rPr>
                <w:b/>
                <w:noProof/>
                <w:sz w:val="16"/>
                <w:szCs w:val="16"/>
              </w:rPr>
            </w:pPr>
            <w:r>
              <w:rPr>
                <w:noProof/>
                <w:sz w:val="16"/>
              </w:rPr>
              <w:t>0,5</w:t>
            </w:r>
          </w:p>
        </w:tc>
        <w:tc>
          <w:tcPr>
            <w:tcW w:w="551"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0,1</w:t>
            </w:r>
          </w:p>
        </w:tc>
      </w:tr>
    </w:tbl>
    <w:p>
      <w:pPr>
        <w:pStyle w:val="Text1"/>
        <w:spacing w:before="60" w:after="60"/>
        <w:ind w:left="851"/>
        <w:rPr>
          <w:noProof/>
          <w:sz w:val="18"/>
          <w:szCs w:val="18"/>
        </w:rPr>
      </w:pPr>
      <w:r>
        <w:rPr>
          <w:b/>
          <w:noProof/>
          <w:sz w:val="18"/>
        </w:rPr>
        <w:t>XX</w:t>
      </w:r>
      <w:r>
        <w:rPr>
          <w:noProof/>
          <w:sz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Préparation et gestion des réunions du groupe consultatif conjoint institué en vertu de l’article 6, point b) de l’accord, ainsi que suivi du fonctionnement et de la mise en œuvre de l’accord.</w:t>
            </w:r>
          </w:p>
          <w:p>
            <w:pPr>
              <w:rPr>
                <w:noProof/>
                <w:sz w:val="20"/>
              </w:rPr>
            </w:pPr>
            <w:r>
              <w:rPr>
                <w:noProof/>
                <w:sz w:val="20"/>
              </w:rPr>
              <w:t>Les calculs sont effectués proportionnellement à la durée de l’accord.</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Compatibilité avec le cadre financier pluriannuel actuel </w:t>
      </w:r>
    </w:p>
    <w:p>
      <w:pPr>
        <w:pStyle w:val="ListDash1"/>
        <w:rPr>
          <w:noProof/>
        </w:rPr>
      </w:pPr>
      <w:r>
        <w:rPr>
          <w:noProof/>
        </w:rPr>
        <w:sym w:font="Wingdings" w:char="F0FE"/>
      </w:r>
      <w:r>
        <w:rPr>
          <w:noProof/>
        </w:rPr>
        <w:tab/>
        <w:t>La proposition/l’initiative est compatible avec le cadre financier pluriannuel actuel.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Le cadre financier pluriannuel 2021-2027 doit encore être adopté par le Parlement européen et le Conseil.</w:t>
      </w:r>
    </w:p>
    <w:p>
      <w:pPr>
        <w:rPr>
          <w:noProof/>
        </w:rPr>
      </w:pPr>
    </w:p>
    <w:p>
      <w:pPr>
        <w:pStyle w:val="ManualHeading3"/>
        <w:rPr>
          <w:bCs/>
          <w:noProof/>
          <w:szCs w:val="24"/>
        </w:rPr>
      </w:pPr>
      <w:r>
        <w:rPr>
          <w:noProof/>
        </w:rPr>
        <w:t>3.2.5.</w:t>
      </w:r>
      <w:r>
        <w:rPr>
          <w:noProof/>
        </w:rPr>
        <w:tab/>
        <w:t xml:space="preserve">Participation de tiers au financement </w:t>
      </w:r>
    </w:p>
    <w:p>
      <w:pPr>
        <w:pStyle w:val="ListDash1"/>
        <w:rPr>
          <w:noProof/>
        </w:rPr>
      </w:pPr>
      <w:r>
        <w:rPr>
          <w:noProof/>
        </w:rPr>
        <w:sym w:font="Wingdings" w:char="F0FE"/>
      </w:r>
      <w:r>
        <w:rPr>
          <w:noProof/>
        </w:rPr>
        <w:t xml:space="preserve"> La proposition/l’initiative ne prévoit pas de cofinancement par des tierces parties. </w:t>
      </w:r>
    </w:p>
    <w:p>
      <w:pPr>
        <w:rPr>
          <w:noProof/>
        </w:rPr>
      </w:pP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t>3.3.</w:t>
      </w:r>
      <w:r>
        <w:rPr>
          <w:noProof/>
        </w:rPr>
        <w:tab/>
        <w:t xml:space="preserve">Incidence estimée sur les recettes </w:t>
      </w:r>
    </w:p>
    <w:p>
      <w:pPr>
        <w:pStyle w:val="ListDash1"/>
        <w:rPr>
          <w:noProof/>
        </w:rPr>
      </w:pPr>
      <w:r>
        <w:rPr>
          <w:noProof/>
        </w:rPr>
        <w:sym w:font="Wingdings" w:char="F0FE"/>
      </w:r>
      <w:r>
        <w:rPr>
          <w:noProof/>
        </w:rPr>
        <w:tab/>
        <w:t>La proposition/l'initiative est sans incidence financière sur les recettes.</w:t>
      </w:r>
    </w:p>
    <w:p>
      <w:pPr>
        <w:rPr>
          <w:noProof/>
        </w:rPr>
      </w:pPr>
    </w:p>
    <w:p>
      <w:pPr>
        <w:jc w:val="center"/>
        <w:rPr>
          <w:i/>
          <w:noProof/>
          <w:sz w:val="20"/>
        </w:rPr>
      </w:pPr>
      <w:r>
        <w:rPr>
          <w:noProof/>
        </w:rPr>
        <w:t>En Mio EUR (à la 3</w:t>
      </w:r>
      <w:r>
        <w:rPr>
          <w:noProof/>
          <w:vertAlign w:val="superscript"/>
        </w:rPr>
        <w:t>e</w:t>
      </w:r>
      <w:r>
        <w:rPr>
          <w:noProof/>
        </w:rPr>
        <w:t xml:space="preserv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299 du 28.11.2000, p. 15.</w:t>
      </w:r>
    </w:p>
  </w:footnote>
  <w:footnote w:id="2">
    <w:p>
      <w:pPr>
        <w:pStyle w:val="FootnoteText"/>
        <w:rPr>
          <w:lang w:val="fr-BE"/>
        </w:rPr>
      </w:pPr>
      <w:r>
        <w:rPr>
          <w:rStyle w:val="FootnoteReference"/>
        </w:rPr>
        <w:footnoteRef/>
      </w:r>
      <w:r>
        <w:rPr>
          <w:lang w:val="fr-BE"/>
        </w:rPr>
        <w:tab/>
        <w:t>Décision 2003/798/CE du Conseil (JO L 229 du 18.11.2003, p. 20).</w:t>
      </w:r>
    </w:p>
  </w:footnote>
  <w:footnote w:id="3">
    <w:p>
      <w:pPr>
        <w:pStyle w:val="FootnoteText"/>
        <w:rPr>
          <w:lang w:val="fr-BE"/>
        </w:rPr>
      </w:pPr>
      <w:r>
        <w:rPr>
          <w:rStyle w:val="FootnoteReference"/>
        </w:rPr>
        <w:footnoteRef/>
      </w:r>
      <w:r>
        <w:rPr>
          <w:lang w:val="fr-BE"/>
        </w:rPr>
        <w:tab/>
        <w:t>Décision 2009/313/CE du Conseil (JO L 92 du 4.4.2009, p. 3).</w:t>
      </w:r>
    </w:p>
  </w:footnote>
  <w:footnote w:id="4">
    <w:p>
      <w:pPr>
        <w:pStyle w:val="FootnoteText"/>
        <w:rPr>
          <w:lang w:val="fr-BE"/>
        </w:rPr>
      </w:pPr>
      <w:r>
        <w:rPr>
          <w:rStyle w:val="FootnoteReference"/>
        </w:rPr>
        <w:footnoteRef/>
      </w:r>
      <w:r>
        <w:rPr>
          <w:lang w:val="fr-BE"/>
        </w:rPr>
        <w:tab/>
        <w:t>Décision 2014/50/UE du Conseil (JO L 32 du 1.2.2014, p. 1).</w:t>
      </w:r>
    </w:p>
  </w:footnote>
  <w:footnote w:id="5">
    <w:p>
      <w:pPr>
        <w:pStyle w:val="FootnoteText"/>
        <w:rPr>
          <w:lang w:val="fr-BE"/>
        </w:rPr>
      </w:pPr>
      <w:r>
        <w:rPr>
          <w:rStyle w:val="FootnoteReference"/>
        </w:rPr>
        <w:footnoteRef/>
      </w:r>
      <w:r>
        <w:rPr>
          <w:lang w:val="fr-BE"/>
        </w:rPr>
        <w:tab/>
      </w:r>
      <w:r>
        <w:rPr>
          <w:i/>
          <w:lang w:val="fr-BE"/>
        </w:rPr>
        <w:t>Renforcement et ciblage de la coopération internationale de l’Union européenne dans la recherche et l’innovation: une approche stratégique</w:t>
      </w:r>
      <w:r>
        <w:rPr>
          <w:lang w:val="fr-BE"/>
        </w:rPr>
        <w:t xml:space="preserve">, COM(2012) 497. </w:t>
      </w:r>
    </w:p>
  </w:footnote>
  <w:footnote w:id="6">
    <w:p>
      <w:pPr>
        <w:pStyle w:val="FootnoteText"/>
        <w:rPr>
          <w:lang w:val="fr-BE"/>
        </w:rPr>
      </w:pPr>
      <w:r>
        <w:rPr>
          <w:rStyle w:val="FootnoteReference"/>
        </w:rPr>
        <w:footnoteRef/>
      </w:r>
      <w:r>
        <w:rPr>
          <w:lang w:val="fr-BE"/>
        </w:rPr>
        <w:tab/>
        <w:t>Décision 2000/742/CE du Conseil du 16 novembre 2000 concernant la conclusion de l’accord de coopération dans le domaine de la science et de la technologie entre la Communauté européenne et le gouvernement de la Fédération de Russie (JO L 299 du 28.11.2000, p. 14).</w:t>
      </w:r>
    </w:p>
  </w:footnote>
  <w:footnote w:id="7">
    <w:p>
      <w:pPr>
        <w:pStyle w:val="FootnoteText"/>
        <w:rPr>
          <w:lang w:val="fr-BE"/>
        </w:rPr>
      </w:pPr>
      <w:r>
        <w:rPr>
          <w:rStyle w:val="FootnoteReference"/>
        </w:rPr>
        <w:footnoteRef/>
      </w:r>
      <w:r>
        <w:rPr>
          <w:lang w:val="fr-BE"/>
        </w:rPr>
        <w:tab/>
        <w:t>Décision 2003/798/CE du Conseil du 5 juin 2003 concernant la conclusion d’un accord visant à renouveler l’accord de coopération dans le domaine de la science et de la technologie entre la Communauté européenne et le gouvernement de la Fédération de Russie (JO L 229 du 18.11.2003, p. 20).</w:t>
      </w:r>
    </w:p>
  </w:footnote>
  <w:footnote w:id="8">
    <w:p>
      <w:pPr>
        <w:pStyle w:val="FootnoteText"/>
        <w:rPr>
          <w:lang w:val="fr-BE"/>
        </w:rPr>
      </w:pPr>
      <w:r>
        <w:rPr>
          <w:rStyle w:val="FootnoteReference"/>
        </w:rPr>
        <w:footnoteRef/>
      </w:r>
      <w:r>
        <w:rPr>
          <w:lang w:val="fr-BE"/>
        </w:rPr>
        <w:tab/>
        <w:t>Décision 2009/313/CE du Conseil du 30 mars 2009 concernant le renouvellement de l’accord de coopération dans le domaine de la science et de la technologie entre la Communauté européenne et le gouvernement de la Fédération de Russie (JO L 92 du 4.4.2009, p. 3).</w:t>
      </w:r>
    </w:p>
  </w:footnote>
  <w:footnote w:id="9">
    <w:p>
      <w:pPr>
        <w:pStyle w:val="FootnoteText"/>
        <w:rPr>
          <w:lang w:val="fr-BE"/>
        </w:rPr>
      </w:pPr>
      <w:r>
        <w:rPr>
          <w:rStyle w:val="FootnoteReference"/>
        </w:rPr>
        <w:footnoteRef/>
      </w:r>
      <w:r>
        <w:rPr>
          <w:lang w:val="fr-BE"/>
        </w:rPr>
        <w:tab/>
        <w:t>Décision 2014/50/UE du Conseil du 20 janvier 2014 concernant le renouvellement de l’accord de coopération dans le domaine de la science et de la technologie entre la Communauté européenne et le gouvernement de la Fédération de Russie (JO L 32 du 1.2.2014, p. 1).</w:t>
      </w:r>
    </w:p>
  </w:footnote>
  <w:footnote w:id="10">
    <w:p>
      <w:pPr>
        <w:pStyle w:val="FootnoteText"/>
        <w:rPr>
          <w:lang w:val="fr-BE"/>
        </w:rPr>
      </w:pPr>
      <w:r>
        <w:rPr>
          <w:rStyle w:val="FootnoteReference"/>
        </w:rPr>
        <w:footnoteRef/>
      </w:r>
      <w:r>
        <w:rPr>
          <w:lang w:val="fr-BE"/>
        </w:rPr>
        <w:tab/>
        <w:t>www.sanctionsmap.eu. Il convient de noter que la carte des sanctions est un outil informatique qui énumère les régimes de mesures restrictives. Les mesures restrictives sont fixées dans des actes juridiques publiés au JO. En cas de divergence, le JO fait foi.</w:t>
      </w:r>
    </w:p>
  </w:footnote>
  <w:footnote w:id="11">
    <w:p>
      <w:pPr>
        <w:pStyle w:val="FootnoteText"/>
        <w:rPr>
          <w:szCs w:val="24"/>
          <w:lang w:val="fr-BE"/>
        </w:rPr>
      </w:pPr>
      <w:r>
        <w:rPr>
          <w:rStyle w:val="FootnoteReference"/>
        </w:rPr>
        <w:footnoteRef/>
      </w:r>
      <w:r>
        <w:rPr>
          <w:lang w:val="fr-BE"/>
        </w:rPr>
        <w:tab/>
        <w:t>ABM: gestion par activité; ABB: établissement du budget par activité.</w:t>
      </w:r>
    </w:p>
  </w:footnote>
  <w:footnote w:id="12">
    <w:p>
      <w:pPr>
        <w:pStyle w:val="FootnoteText"/>
        <w:rPr>
          <w:lang w:val="fr-BE"/>
        </w:rPr>
      </w:pPr>
      <w:r>
        <w:rPr>
          <w:rStyle w:val="FootnoteReference"/>
        </w:rPr>
        <w:footnoteRef/>
      </w:r>
      <w:r>
        <w:rPr>
          <w:lang w:val="fr-BE"/>
        </w:rPr>
        <w:tab/>
        <w:t>En vertu de la proposition de la Commission pour le prochain cadre financier pluriannuel (Horizon Europe), qui doit encore être adoptée, la DG CLIMA et la DG MARE ont été ajoutées par rapport au programme Horizon 2020.</w:t>
      </w:r>
    </w:p>
  </w:footnote>
  <w:footnote w:id="13">
    <w:p>
      <w:pPr>
        <w:pStyle w:val="FootnoteTex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r>
          <w:rPr>
            <w:rStyle w:val="Hyperlink"/>
            <w:sz w:val="18"/>
            <w:lang w:val="fr-BE"/>
          </w:rPr>
          <w:t>http://www.cc.cec/budg/man/budgmanag/budgmanag_fr.html</w:t>
        </w:r>
      </w:hyperlink>
    </w:p>
  </w:footnote>
  <w:footnote w:id="14">
    <w:p>
      <w:pPr>
        <w:pStyle w:val="FootnoteText"/>
        <w:ind w:left="709" w:hanging="709"/>
        <w:rPr>
          <w:lang w:val="fr-BE"/>
        </w:rPr>
      </w:pPr>
      <w:r>
        <w:rPr>
          <w:rStyle w:val="FootnoteReference"/>
        </w:rPr>
        <w:footnoteRef/>
      </w:r>
      <w:r>
        <w:rPr>
          <w:lang w:val="fr-BE"/>
        </w:rPr>
        <w:tab/>
        <w:t>Les crédits pour la période 2021-2024 (cadre financier pluriannuel 2021-2027) et la base juridique correspondante doivent encore être adoptés par le Parlement européen et le Conseil, et le projet de budget pour 2019 doit encore être approuvé par l’autorité budgétaire.</w:t>
      </w:r>
    </w:p>
  </w:footnote>
  <w:footnote w:id="15">
    <w:p>
      <w:pPr>
        <w:pStyle w:val="FootnoteText"/>
        <w:rPr>
          <w:szCs w:val="24"/>
          <w:lang w:val="fr-BE"/>
        </w:rPr>
      </w:pPr>
      <w:r>
        <w:rPr>
          <w:rStyle w:val="FootnoteReference"/>
        </w:rPr>
        <w:footnoteRef/>
      </w:r>
      <w:r>
        <w:rPr>
          <w:lang w:val="fr-BE"/>
        </w:rPr>
        <w:tab/>
        <w:t>CD = crédits dissociés / CND = crédits non dissociés.</w:t>
      </w:r>
    </w:p>
  </w:footnote>
  <w:footnote w:id="16">
    <w:p>
      <w:pPr>
        <w:pStyle w:val="FootnoteText"/>
        <w:rPr>
          <w:szCs w:val="24"/>
          <w:lang w:val="fr-BE"/>
        </w:rPr>
      </w:pPr>
      <w:r>
        <w:rPr>
          <w:rStyle w:val="FootnoteReference"/>
        </w:rPr>
        <w:footnoteRef/>
      </w:r>
      <w:r>
        <w:rPr>
          <w:lang w:val="fr-BE"/>
        </w:rPr>
        <w:tab/>
        <w:t xml:space="preserve">AELE: Association européenne de libre-échange. </w:t>
      </w:r>
    </w:p>
  </w:footnote>
  <w:footnote w:id="17">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18">
    <w:p>
      <w:pPr>
        <w:pStyle w:val="FootnoteText"/>
        <w:rPr>
          <w:szCs w:val="24"/>
          <w:lang w:val="fr-BE"/>
        </w:rPr>
      </w:pPr>
      <w:r>
        <w:rPr>
          <w:rStyle w:val="FootnoteReference"/>
        </w:rPr>
        <w:footnoteRef/>
      </w:r>
      <w:r>
        <w:rPr>
          <w:lang w:val="fr-BE"/>
        </w:rPr>
        <w:tab/>
        <w:t>L'année 2019 est l'année du début de la mise en œuvre de la proposition/de l'initiative. Les montants pour 2019 et 2024 correspondent respectivement à dix mois et deux mois.</w:t>
      </w:r>
    </w:p>
  </w:footnote>
  <w:footnote w:id="19">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20">
    <w:p>
      <w:pPr>
        <w:pStyle w:val="FootnoteText"/>
        <w:rPr>
          <w:szCs w:val="24"/>
          <w:lang w:val="fr-BE"/>
        </w:rPr>
      </w:pPr>
      <w:r>
        <w:rPr>
          <w:rStyle w:val="FootnoteReference"/>
        </w:rPr>
        <w:footnoteRef/>
      </w:r>
      <w:r>
        <w:rPr>
          <w:lang w:val="fr-BE"/>
        </w:rPr>
        <w:tab/>
        <w:t>L'année 2019 est l'année du début de la mise en œuvre de la proposition/de l'initiative. Les montants pour 2019 et 2024 correspondent respectivement à dix mois et deux mois.</w:t>
      </w:r>
    </w:p>
  </w:footnote>
  <w:footnote w:id="21">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22">
    <w:p>
      <w:pPr>
        <w:pStyle w:val="FootnoteText"/>
        <w:rPr>
          <w:szCs w:val="24"/>
          <w:lang w:val="fr-BE"/>
        </w:rPr>
      </w:pPr>
      <w:r>
        <w:rPr>
          <w:rStyle w:val="FootnoteReference"/>
        </w:rPr>
        <w:footnoteRef/>
      </w:r>
      <w:r>
        <w:rPr>
          <w:lang w:val="fr-BE"/>
        </w:rPr>
        <w:tab/>
        <w:t xml:space="preserve">Tel que décrit au point 1.4.2. «Objectif(s) spécifique(s)…». </w:t>
      </w:r>
    </w:p>
  </w:footnote>
  <w:footnote w:id="23">
    <w:p>
      <w:pPr>
        <w:pStyle w:val="FootnoteText"/>
        <w:rPr>
          <w:szCs w:val="24"/>
          <w:lang w:val="fr-BE"/>
        </w:rPr>
      </w:pPr>
      <w:r>
        <w:rPr>
          <w:rStyle w:val="FootnoteReference"/>
        </w:rPr>
        <w:footnoteRef/>
      </w:r>
      <w:r>
        <w:rPr>
          <w:lang w:val="fr-BE"/>
        </w:rPr>
        <w:tab/>
        <w:t>L'année 2019 est l'année du début de la mise en œuvre de la proposition/de l'initiative. Les montants pour 2019 et 2024 correspondent respectivement à dix mois et deux mois.</w:t>
      </w:r>
    </w:p>
  </w:footnote>
  <w:footnote w:id="24">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25">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26">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B40A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5623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4C29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BC70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454A2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012C2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2"/>
  </w:num>
  <w:num w:numId="10">
    <w:abstractNumId w:val="1"/>
  </w:num>
  <w:num w:numId="11">
    <w:abstractNumId w:val="0"/>
  </w:num>
  <w:num w:numId="12">
    <w:abstractNumId w:val="19"/>
  </w:num>
  <w:num w:numId="13">
    <w:abstractNumId w:val="11"/>
  </w:num>
  <w:num w:numId="14">
    <w:abstractNumId w:val="22"/>
  </w:num>
  <w:num w:numId="15">
    <w:abstractNumId w:val="10"/>
  </w:num>
  <w:num w:numId="16">
    <w:abstractNumId w:val="12"/>
  </w:num>
  <w:num w:numId="17">
    <w:abstractNumId w:val="8"/>
  </w:num>
  <w:num w:numId="18">
    <w:abstractNumId w:val="21"/>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4"/>
  </w:num>
  <w:num w:numId="26">
    <w:abstractNumId w:val="19"/>
  </w:num>
  <w:num w:numId="27">
    <w:abstractNumId w:val="11"/>
  </w:num>
  <w:num w:numId="28">
    <w:abstractNumId w:val="22"/>
  </w:num>
  <w:num w:numId="29">
    <w:abstractNumId w:val="10"/>
  </w:num>
  <w:num w:numId="30">
    <w:abstractNumId w:val="12"/>
  </w:num>
  <w:num w:numId="31">
    <w:abstractNumId w:val="8"/>
  </w:num>
  <w:num w:numId="32">
    <w:abstractNumId w:val="21"/>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1 10:24: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926AB09-BA4F-47B7-85DE-EB411A0F7550"/>
    <w:docVar w:name="LW_COVERPAGE_TYPE" w:val="1"/>
    <w:docVar w:name="LW_CROSSREFERENCE" w:val="&lt;UNUSED&gt;"/>
    <w:docVar w:name="LW_DocType" w:val="COM"/>
    <w:docVar w:name="LW_EMISSION" w:val="18.1.2019"/>
    <w:docVar w:name="LW_EMISSION_ISODATE" w:val="2019-01-18"/>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5"/>
    <w:docVar w:name="LW_REF.II.NEW.CP_YEAR" w:val="2019"/>
    <w:docVar w:name="LW_REF.INST.NEW" w:val="COM"/>
    <w:docVar w:name="LW_REF.INST.NEW_ADOPTED" w:val="final"/>
    <w:docVar w:name="LW_REF.INST.NEW_TEXT" w:val="(2019) 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concernant le renouvellement de l\u8217?accord de coopération dans le domaine de la science et de la technologie entre la Communauté européenne et le gouvernement de la Fédération de Russie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FA17F-459A-4C4E-9DCC-E111C929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21</Pages>
  <Words>4602</Words>
  <Characters>25865</Characters>
  <Application>Microsoft Office Word</Application>
  <DocSecurity>0</DocSecurity>
  <Lines>1361</Lines>
  <Paragraphs>648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2018-11-29T15:19:00Z</cp:lastPrinted>
  <dcterms:created xsi:type="dcterms:W3CDTF">2018-12-13T13:08:00Z</dcterms:created>
  <dcterms:modified xsi:type="dcterms:W3CDTF">2019-01-11T09:24:00Z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