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C15D72-2660-4216-BEDF-5F95F3425BCB"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0"/>
        <w:rPr>
          <w:noProof/>
        </w:rPr>
      </w:pPr>
      <w:r>
        <w:rPr>
          <w:noProof/>
        </w:rPr>
        <w:t>The 'Agreement on cooperation in science and technology between the European Community and the Government of the Russian Federation'</w:t>
      </w:r>
      <w:r>
        <w:rPr>
          <w:rStyle w:val="FootnoteReference"/>
          <w:noProof/>
        </w:rPr>
        <w:footnoteReference w:id="1"/>
      </w:r>
      <w:r>
        <w:rPr>
          <w:noProof/>
        </w:rPr>
        <w:t xml:space="preserve"> ('the Agreement') was signed in Brussels on 16 November 2000 and entered into force on 10 May 2001. Since then and in accordance with its Article 12, the Agreement has been renewed three times in 2004</w:t>
      </w:r>
      <w:r>
        <w:rPr>
          <w:rStyle w:val="FootnoteReference"/>
          <w:noProof/>
        </w:rPr>
        <w:footnoteReference w:id="2"/>
      </w:r>
      <w:r>
        <w:rPr>
          <w:noProof/>
        </w:rPr>
        <w:t>, 2009</w:t>
      </w:r>
      <w:r>
        <w:rPr>
          <w:rStyle w:val="FootnoteReference"/>
          <w:noProof/>
        </w:rPr>
        <w:footnoteReference w:id="3"/>
      </w:r>
      <w:r>
        <w:rPr>
          <w:noProof/>
        </w:rPr>
        <w:t xml:space="preserve"> and 2014</w:t>
      </w:r>
      <w:r>
        <w:rPr>
          <w:rStyle w:val="FootnoteReference"/>
          <w:noProof/>
        </w:rPr>
        <w:footnoteReference w:id="4"/>
      </w:r>
      <w:r>
        <w:rPr>
          <w:noProof/>
        </w:rPr>
        <w:t xml:space="preserve"> for an additional period of 5 years each time.</w:t>
      </w:r>
    </w:p>
    <w:p>
      <w:pPr>
        <w:spacing w:before="0" w:after="0"/>
        <w:ind w:left="-46"/>
        <w:rPr>
          <w:noProof/>
        </w:rPr>
      </w:pPr>
    </w:p>
    <w:p>
      <w:pPr>
        <w:spacing w:before="0" w:after="0"/>
        <w:ind w:left="-46"/>
        <w:rPr>
          <w:noProof/>
        </w:rPr>
      </w:pPr>
      <w:r>
        <w:rPr>
          <w:noProof/>
        </w:rPr>
        <w:t xml:space="preserve">The current Agreement is due to expire on 20 February 2019. </w:t>
      </w:r>
    </w:p>
    <w:p>
      <w:pPr>
        <w:spacing w:before="0" w:after="0"/>
        <w:ind w:left="-46"/>
        <w:rPr>
          <w:noProof/>
        </w:rPr>
      </w:pPr>
    </w:p>
    <w:p>
      <w:pPr>
        <w:spacing w:before="0" w:after="0"/>
        <w:ind w:left="-46"/>
        <w:rPr>
          <w:noProof/>
        </w:rPr>
      </w:pPr>
      <w:r>
        <w:rPr>
          <w:noProof/>
        </w:rPr>
        <w:t>It is in the interest of the EU to renew this Agreement in order to continue to facilitate cooperation with the Russian Federation in common S&amp;T priority areas leading to benefits for both Parties.</w:t>
      </w:r>
    </w:p>
    <w:p>
      <w:pPr>
        <w:spacing w:before="0" w:after="0"/>
        <w:ind w:left="-46"/>
        <w:rPr>
          <w:noProof/>
        </w:rPr>
      </w:pPr>
    </w:p>
    <w:p>
      <w:pPr>
        <w:spacing w:before="0" w:after="0"/>
        <w:ind w:left="-46"/>
        <w:rPr>
          <w:noProof/>
        </w:rPr>
      </w:pPr>
      <w:r>
        <w:rPr>
          <w:noProof/>
          <w:color w:val="010202"/>
          <w:szCs w:val="24"/>
        </w:rPr>
        <w:t xml:space="preserve">Russia is the most important </w:t>
      </w:r>
      <w:r>
        <w:rPr>
          <w:noProof/>
        </w:rPr>
        <w:t xml:space="preserve">Science, Technology &amp; Innovation (STI) </w:t>
      </w:r>
      <w:r>
        <w:rPr>
          <w:noProof/>
          <w:color w:val="010202"/>
          <w:szCs w:val="24"/>
        </w:rPr>
        <w:t xml:space="preserve">actor in the neighbourhood of the EU that is not associated to Horizon 2020. </w:t>
      </w:r>
      <w:r>
        <w:rPr>
          <w:noProof/>
        </w:rPr>
        <w:t>Cooperation in STI between the EU and Russia has traditionally been very active, notably in the fields of research infrastructures, transport and environment. However, while in FP7 Russia was the most active non-associated third-country participant, in Horizon 2020 the level of collaboration is far below its potential. To a large degree this is due to the change of funding rules in Horizon 2020, whereby legal entities from Russia (together with Brazil, India, China and Mexico) are not anymore automatically eligible for funding from the EU, but also to the political circumstances.</w:t>
      </w:r>
    </w:p>
    <w:p>
      <w:pPr>
        <w:spacing w:before="0" w:after="0"/>
        <w:ind w:left="-46"/>
        <w:rPr>
          <w:noProof/>
        </w:rPr>
      </w:pPr>
    </w:p>
    <w:p>
      <w:pPr>
        <w:spacing w:before="0" w:after="0"/>
        <w:ind w:left="-46"/>
        <w:rPr>
          <w:noProof/>
          <w:color w:val="010202"/>
          <w:szCs w:val="24"/>
        </w:rPr>
      </w:pPr>
      <w:r>
        <w:rPr>
          <w:noProof/>
          <w:color w:val="010202"/>
          <w:szCs w:val="24"/>
        </w:rPr>
        <w:t>Among all non-associated countries, Russia currently ranks 6</w:t>
      </w:r>
      <w:r>
        <w:rPr>
          <w:noProof/>
          <w:color w:val="010202"/>
          <w:szCs w:val="24"/>
          <w:vertAlign w:val="superscript"/>
        </w:rPr>
        <w:t>th</w:t>
      </w:r>
      <w:r>
        <w:rPr>
          <w:noProof/>
          <w:color w:val="010202"/>
          <w:szCs w:val="24"/>
        </w:rPr>
        <w:t xml:space="preserve"> in terms of participations in collaborative projects of Horizon 2020. Moreover, the Horizon 2020 Work Programme 2018-2020 aims to intensify cooperation with Russia on topics of mutual interest and common benefit. In particular, apart from the general openness of Horizon 2020 to entities from all over the world including Russia, there are two major flagship bilateral cooperation initiatives with Russia, in research infrastructures and health, and one flagship multilateral cooperation initiative on aeronautics that targets also Russia.</w:t>
      </w:r>
    </w:p>
    <w:p>
      <w:pPr>
        <w:spacing w:before="0" w:after="0"/>
        <w:ind w:left="-46"/>
        <w:rPr>
          <w:noProof/>
        </w:rPr>
      </w:pPr>
    </w:p>
    <w:p>
      <w:pPr>
        <w:spacing w:before="0" w:after="0"/>
        <w:ind w:left="-46"/>
        <w:rPr>
          <w:noProof/>
        </w:rPr>
      </w:pPr>
      <w:r>
        <w:rPr>
          <w:noProof/>
        </w:rPr>
        <w:t xml:space="preserve">The renewal of the Agreement fits within the EU's approach based on the five guiding principles to manage the EU’s current relations with Russia, agreed upon at the EU Foreign Affairs Council on 14 March 2016 and confirmed at the EU Foreign Affairs Council on 16 April 2018. Science diplomacy can be a powerful tool in our relations with Russia as it provides a positive cooperation agenda and is a source of 'soft power' that can be particularly instrumental in catalysing and opening channels of communication and building trust between our societies. The Agreement provides a framework to enhance people-to-people contacts and STI cooperation in areas of EU strategic interest in the years to come, countering the trend of decreasing intensity of scientific collaboration between EU and Russian participants. For these reasons it is useful to renew the Agreement for the next five-year period. </w:t>
      </w:r>
    </w:p>
    <w:p>
      <w:pPr>
        <w:spacing w:before="0" w:after="0"/>
        <w:ind w:left="-46"/>
        <w:rPr>
          <w:noProof/>
        </w:rPr>
      </w:pPr>
    </w:p>
    <w:p>
      <w:pPr>
        <w:pBdr>
          <w:top w:val="nil"/>
          <w:left w:val="nil"/>
          <w:bottom w:val="nil"/>
          <w:right w:val="nil"/>
          <w:between w:val="nil"/>
          <w:bar w:val="nil"/>
        </w:pBdr>
        <w:spacing w:before="0" w:after="240"/>
        <w:rPr>
          <w:noProof/>
        </w:rPr>
      </w:pPr>
      <w:r>
        <w:rPr>
          <w:noProof/>
        </w:rPr>
        <w:lastRenderedPageBreak/>
        <w:t xml:space="preserve">At the EU-Russia Joint Science and Technology Cooperation Committee meeting </w:t>
      </w:r>
      <w:r>
        <w:rPr>
          <w:noProof/>
          <w:szCs w:val="24"/>
        </w:rPr>
        <w:t>established by the Agreement</w:t>
      </w:r>
      <w:r>
        <w:rPr>
          <w:noProof/>
        </w:rPr>
        <w:t>, held in Moscow on 28 September 2018, both Parties took note of their intention to renew the Agreement for another five-year period, without any amendment recognising the progress made to enhance EU-Russia cooperation in research and innovation.</w:t>
      </w:r>
    </w:p>
    <w:p>
      <w:pPr>
        <w:spacing w:before="0" w:after="0"/>
        <w:rPr>
          <w:noProof/>
          <w:color w:val="010202"/>
          <w:szCs w:val="24"/>
        </w:rPr>
      </w:pPr>
      <w:r>
        <w:rPr>
          <w:noProof/>
        </w:rPr>
        <w:t>The substance of the renewed Agreement will be identical to that of the current Agreement</w:t>
      </w:r>
      <w:r>
        <w:rPr>
          <w:noProof/>
          <w:szCs w:val="24"/>
        </w:rPr>
        <w:t xml:space="preserve"> as discussed and agreed with the Russian counterparts</w:t>
      </w:r>
      <w:r>
        <w:rPr>
          <w:noProof/>
        </w:rPr>
        <w:t>. It will not create new rights and obligations for the EU, but instead it will extend in time the legal regime already existing between the Parties in the field of S&amp;T cooperation.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szCs w:val="24"/>
        </w:rPr>
        <w:t>This initiative is fully in line with the EU’s international cooperation strategy for research &amp; innovation</w:t>
      </w:r>
      <w:r>
        <w:rPr>
          <w:rStyle w:val="FootnoteReference"/>
          <w:noProof/>
          <w:szCs w:val="24"/>
        </w:rPr>
        <w:footnoteReference w:id="5"/>
      </w:r>
      <w:r>
        <w:rPr>
          <w:noProof/>
          <w:szCs w:val="24"/>
        </w:rPr>
        <w:t>, whereby Russia is a strategic partner of the EU in research and innovation. The EU’s strategy clearly states the importance of science &amp; technology agreements as vehicles for defining and implementing multiannual roadmaps for cooperation with non-EU countries. The Agreement is also a means of implementing the EU’s international cooperation strategy for research and innovation, which calls for more internationalisation and openness in the EU’s research &amp; innovation landscape.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Cs w:val="24"/>
        </w:rPr>
      </w:pPr>
      <w:r>
        <w:rPr>
          <w:noProof/>
          <w:szCs w:val="24"/>
        </w:rPr>
        <w:t>The EU’s global strategy for the EU’s foreign and security policy confirms that research cooperation is an important aspect of EU foreign policy and sees research cooperation as an essential element of stronger socioeconomic ties.</w:t>
      </w:r>
    </w:p>
    <w:p>
      <w:pPr>
        <w:pBdr>
          <w:top w:val="nil"/>
          <w:left w:val="nil"/>
          <w:bottom w:val="nil"/>
          <w:right w:val="nil"/>
          <w:between w:val="nil"/>
          <w:bar w:val="nil"/>
        </w:pBdr>
        <w:spacing w:before="0" w:after="240"/>
        <w:rPr>
          <w:noProof/>
        </w:rPr>
      </w:pPr>
      <w:r>
        <w:rPr>
          <w:noProof/>
          <w:szCs w:val="24"/>
        </w:rPr>
        <w:t xml:space="preserve">The initiative is consistent with the </w:t>
      </w:r>
      <w:r>
        <w:rPr>
          <w:noProof/>
        </w:rPr>
        <w:t>principles guiding current EU-Russia relations, as agreed upon at the EU Foreign Affairs Council on 14 March 2016, and confirmed at the EU Foreign Affairs Council on 16 April 2018.</w:t>
      </w:r>
    </w:p>
    <w:p>
      <w:pPr>
        <w:pBdr>
          <w:top w:val="nil"/>
          <w:left w:val="nil"/>
          <w:bottom w:val="nil"/>
          <w:right w:val="nil"/>
          <w:between w:val="nil"/>
          <w:bar w:val="nil"/>
        </w:pBdr>
        <w:spacing w:before="0" w:after="240"/>
        <w:rPr>
          <w:noProof/>
        </w:rPr>
      </w:pPr>
      <w:r>
        <w:rPr>
          <w:noProof/>
        </w:rPr>
        <w:t>The Commission will ensure the compliance of the implementation of this renewed Agreement with EU restrictive measures.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szCs w:val="24"/>
        </w:rPr>
        <w:t>The EU’s power to act internationally in research and technological development is based on Article 186 TFEU. The procedural legal basis for the proposal is point (a)(v)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szCs w:val="24"/>
        </w:rPr>
      </w:pPr>
      <w:r>
        <w:rPr>
          <w:noProof/>
          <w:szCs w:val="24"/>
        </w:rPr>
        <w:t>The EU and its Members States have parallel competence in the area of research and technological development in accordance with Article 4(3) TFEU. Therefore EU's action cannot be replaced by action of Member States.</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szCs w:val="24"/>
        </w:rPr>
      </w:pPr>
      <w:r>
        <w:rPr>
          <w:noProof/>
          <w:szCs w:val="24"/>
        </w:rPr>
        <w:t xml:space="preserve">This initiative is not part of the REFIT agenda. </w:t>
      </w:r>
    </w:p>
    <w:p>
      <w:pPr>
        <w:pStyle w:val="ManualHeading1"/>
        <w:rPr>
          <w:noProof/>
          <w:szCs w:val="24"/>
        </w:rPr>
      </w:pPr>
      <w:r>
        <w:rPr>
          <w:noProof/>
          <w:szCs w:val="24"/>
        </w:rPr>
        <w:t>4.</w:t>
      </w:r>
      <w:r>
        <w:rPr>
          <w:noProof/>
          <w:szCs w:val="24"/>
        </w:rPr>
        <w:tab/>
        <w:t>BUDGETARY IMPLICATIONS</w:t>
      </w:r>
    </w:p>
    <w:p>
      <w:pPr>
        <w:pBdr>
          <w:top w:val="nil"/>
          <w:left w:val="nil"/>
          <w:bottom w:val="nil"/>
          <w:right w:val="nil"/>
          <w:between w:val="nil"/>
          <w:bar w:val="nil"/>
        </w:pBdr>
        <w:spacing w:before="0" w:after="240"/>
        <w:rPr>
          <w:noProof/>
        </w:rPr>
      </w:pPr>
      <w:r>
        <w:rPr>
          <w:noProof/>
          <w:szCs w:val="24"/>
        </w:rPr>
        <w:t>Only human and administrative resources are required; these are set out in the legislative financial statement.</w:t>
      </w:r>
    </w:p>
    <w:p>
      <w:pPr>
        <w:pBdr>
          <w:top w:val="nil"/>
          <w:left w:val="nil"/>
          <w:bottom w:val="nil"/>
          <w:right w:val="nil"/>
          <w:between w:val="nil"/>
          <w:bar w:val="nil"/>
        </w:pBdr>
        <w:spacing w:before="0" w:after="240"/>
        <w:rPr>
          <w:noProof/>
          <w:szCs w:val="24"/>
        </w:rPr>
      </w:pPr>
      <w:r>
        <w:rPr>
          <w:noProof/>
          <w:szCs w:val="24"/>
        </w:rPr>
        <w:t xml:space="preserve">In the light of the above considerations, the Commission requests that the Council: </w:t>
      </w:r>
    </w:p>
    <w:p>
      <w:pPr>
        <w:pBdr>
          <w:top w:val="nil"/>
          <w:left w:val="nil"/>
          <w:bottom w:val="nil"/>
          <w:right w:val="nil"/>
          <w:between w:val="nil"/>
          <w:bar w:val="nil"/>
        </w:pBdr>
        <w:spacing w:before="0" w:after="240"/>
        <w:rPr>
          <w:rFonts w:eastAsia="Arial Unicode MS"/>
          <w:noProof/>
          <w:color w:val="008000"/>
          <w:szCs w:val="24"/>
        </w:rPr>
      </w:pPr>
      <w:r>
        <w:rPr>
          <w:noProof/>
          <w:szCs w:val="24"/>
        </w:rPr>
        <w:t>- approves, on behalf of the Union, and with the consent of the European Parliament, the renewal</w:t>
      </w:r>
      <w:r>
        <w:rPr>
          <w:rFonts w:eastAsia="Arial Unicode MS"/>
          <w:noProof/>
          <w:color w:val="008000"/>
          <w:szCs w:val="24"/>
        </w:rPr>
        <w:t xml:space="preserve"> </w:t>
      </w:r>
      <w:r>
        <w:rPr>
          <w:noProof/>
          <w:szCs w:val="24"/>
        </w:rPr>
        <w:t xml:space="preserve">of the 'Agreement on cooperation in science and technology between the European Community and the Government of the Russian Federation', for an additional period of five years (i.e., from </w:t>
      </w:r>
      <w:r>
        <w:rPr>
          <w:noProof/>
        </w:rPr>
        <w:t>20.02.2019 until 19/02/2024)</w:t>
      </w:r>
    </w:p>
    <w:p>
      <w:pPr>
        <w:rPr>
          <w:noProof/>
          <w:szCs w:val="24"/>
        </w:rPr>
      </w:pPr>
      <w:r>
        <w:rPr>
          <w:noProof/>
          <w:szCs w:val="24"/>
        </w:rPr>
        <w:t>- authorises the President of the Council to designate the person(s) empowered to notify the Government of the Russian Federation that the Union has completed the internal procedures necessary for the entry into force of this renewed Agreement</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renewal of the Agreement on cooperation in science and technology between the European Community and the Government of the Russian Federation </w:t>
      </w:r>
    </w:p>
    <w:p>
      <w:pPr>
        <w:pStyle w:val="Institutionquiagit"/>
        <w:rPr>
          <w:noProof/>
        </w:rPr>
      </w:pPr>
      <w:r>
        <w:rPr>
          <w:noProof/>
        </w:rPr>
        <w:t>THE COUNCIL OF THE EUROPEAN UNION,</w:t>
      </w:r>
    </w:p>
    <w:p>
      <w:pPr>
        <w:rPr>
          <w:noProof/>
          <w:sz w:val="23"/>
          <w:szCs w:val="23"/>
        </w:rPr>
      </w:pPr>
      <w:r>
        <w:rPr>
          <w:noProof/>
        </w:rPr>
        <w:t xml:space="preserve">Having regard to the Treaty on the Functioning of the European Union, and in particular Article </w:t>
      </w:r>
      <w:r>
        <w:rPr>
          <w:noProof/>
          <w:sz w:val="23"/>
          <w:szCs w:val="23"/>
        </w:rPr>
        <w:t>186, in conjunction with Article 218(6)(a) thereof</w:t>
      </w:r>
      <w:r>
        <w:rPr>
          <w:noProof/>
        </w:rPr>
        <w:t>,</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By Decision 2000/742/EC</w:t>
      </w:r>
      <w:r>
        <w:rPr>
          <w:rStyle w:val="FootnoteReference"/>
          <w:noProof/>
        </w:rPr>
        <w:footnoteReference w:id="6"/>
      </w:r>
      <w:r>
        <w:rPr>
          <w:noProof/>
        </w:rPr>
        <w:t>, the Council approved the conclusion of the Agreement on cooperation in science and technology between the European Community and the Governemnt of the Russian Federation (the ‘Agreement’). The Agreement was signed in Brussels on 16 November 2000 and entered into force on 10 May 2001.</w:t>
      </w:r>
    </w:p>
    <w:p>
      <w:pPr>
        <w:pStyle w:val="ManualConsidrant"/>
        <w:rPr>
          <w:noProof/>
        </w:rPr>
      </w:pPr>
      <w:r>
        <w:rPr>
          <w:noProof/>
        </w:rPr>
        <w:t>(2)</w:t>
      </w:r>
      <w:r>
        <w:rPr>
          <w:noProof/>
        </w:rPr>
        <w:tab/>
        <w:t xml:space="preserve">In accordance with point (b) of Article 12 of the Agreement, the Agreement –initially concluded until 31 December 2002- is renewable by common agreement between the Parties for additional periods of five years. </w:t>
      </w:r>
    </w:p>
    <w:p>
      <w:pPr>
        <w:pStyle w:val="ManualConsidrant"/>
        <w:rPr>
          <w:noProof/>
        </w:rPr>
      </w:pPr>
      <w:r>
        <w:rPr>
          <w:noProof/>
        </w:rPr>
        <w:t>(3)</w:t>
      </w:r>
      <w:r>
        <w:rPr>
          <w:noProof/>
        </w:rPr>
        <w:tab/>
        <w:t>By Decisions 2003/798/EC</w:t>
      </w:r>
      <w:r>
        <w:rPr>
          <w:rStyle w:val="FootnoteReference"/>
          <w:noProof/>
          <w:szCs w:val="24"/>
        </w:rPr>
        <w:footnoteReference w:id="7"/>
      </w:r>
      <w:r>
        <w:rPr>
          <w:noProof/>
        </w:rPr>
        <w:t>, 2009/313/EC</w:t>
      </w:r>
      <w:r>
        <w:rPr>
          <w:rStyle w:val="FootnoteReference"/>
          <w:noProof/>
          <w:szCs w:val="24"/>
        </w:rPr>
        <w:footnoteReference w:id="8"/>
      </w:r>
      <w:r>
        <w:rPr>
          <w:noProof/>
        </w:rPr>
        <w:t xml:space="preserve"> and 2014/50/EU</w:t>
      </w:r>
      <w:r>
        <w:rPr>
          <w:rStyle w:val="FootnoteReference"/>
          <w:noProof/>
          <w:szCs w:val="24"/>
        </w:rPr>
        <w:footnoteReference w:id="9"/>
      </w:r>
      <w:r>
        <w:rPr>
          <w:noProof/>
        </w:rPr>
        <w:t xml:space="preserve"> the Council approved the renewal of the Agreement for an additional period of five years each time. The current Agreement is due to expire on 20 February 2019. </w:t>
      </w:r>
    </w:p>
    <w:p>
      <w:pPr>
        <w:pStyle w:val="ManualConsidrant"/>
        <w:rPr>
          <w:rFonts w:eastAsia="Times New Roman"/>
          <w:noProof/>
          <w:color w:val="000000"/>
        </w:rPr>
      </w:pPr>
      <w:r>
        <w:rPr>
          <w:noProof/>
        </w:rPr>
        <w:t>(4)</w:t>
      </w:r>
      <w:r>
        <w:rPr>
          <w:noProof/>
        </w:rPr>
        <w:tab/>
        <w:t xml:space="preserve">Both Parties confirmed their intention to renew the Agreement for an additional period of five years without </w:t>
      </w:r>
      <w:r>
        <w:rPr>
          <w:rFonts w:eastAsia="Times New Roman"/>
          <w:noProof/>
          <w:color w:val="000000"/>
        </w:rPr>
        <w:t xml:space="preserve">any amendments to the Agreement. </w:t>
      </w:r>
    </w:p>
    <w:p>
      <w:pPr>
        <w:pStyle w:val="ManualConsidrant"/>
        <w:rPr>
          <w:rFonts w:eastAsia="Times New Roman"/>
          <w:noProof/>
          <w:color w:val="000000"/>
        </w:rPr>
      </w:pPr>
      <w:r>
        <w:rPr>
          <w:noProof/>
        </w:rPr>
        <w:t>(5)</w:t>
      </w:r>
      <w:r>
        <w:rPr>
          <w:noProof/>
        </w:rPr>
        <w:tab/>
      </w:r>
      <w:r>
        <w:rPr>
          <w:rFonts w:eastAsia="Times New Roman"/>
          <w:noProof/>
          <w:color w:val="000000"/>
        </w:rPr>
        <w:t>Activities under the Agreement shall respect strictly the conditions and procedures provided in the restrictive measures adopted under Article 215 TFEU</w:t>
      </w:r>
      <w:r>
        <w:rPr>
          <w:rStyle w:val="FootnoteReference"/>
          <w:noProof/>
        </w:rPr>
        <w:footnoteReference w:id="10"/>
      </w:r>
      <w:r>
        <w:rPr>
          <w:rFonts w:eastAsia="Times New Roman"/>
          <w:noProof/>
          <w:color w:val="000000"/>
        </w:rPr>
        <w:t>.</w:t>
      </w:r>
    </w:p>
    <w:p>
      <w:pPr>
        <w:pStyle w:val="ManualConsidrant"/>
        <w:rPr>
          <w:noProof/>
        </w:rPr>
      </w:pPr>
      <w:r>
        <w:rPr>
          <w:noProof/>
        </w:rPr>
        <w:t>(6)</w:t>
      </w:r>
      <w:r>
        <w:rPr>
          <w:noProof/>
        </w:rPr>
        <w:tab/>
        <w:t xml:space="preserve">The renewal of the Agreement should be approved on behalf of the European Union, </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color w:val="0000FF"/>
        </w:rPr>
      </w:pPr>
      <w:r>
        <w:rPr>
          <w:noProof/>
          <w:sz w:val="23"/>
          <w:szCs w:val="23"/>
        </w:rPr>
        <w:t>The renewal of the Agreement on cooperation in science and technology between the European Community and the Government of the Russian Federation, for an additional period of five years, is hereby approved on behalf of the Union.</w:t>
      </w:r>
    </w:p>
    <w:p>
      <w:pPr>
        <w:pStyle w:val="Titrearticle"/>
        <w:keepNext w:val="0"/>
        <w:rPr>
          <w:noProof/>
        </w:rPr>
      </w:pPr>
      <w:r>
        <w:rPr>
          <w:noProof/>
        </w:rPr>
        <w:t>Article 2</w:t>
      </w:r>
    </w:p>
    <w:p>
      <w:pPr>
        <w:rPr>
          <w:noProof/>
          <w:szCs w:val="24"/>
        </w:rPr>
      </w:pPr>
      <w:r>
        <w:rPr>
          <w:noProof/>
          <w:sz w:val="23"/>
          <w:szCs w:val="23"/>
        </w:rPr>
        <w:t xml:space="preserve">The President of the Council shall designate the person(s) empowered to notify the Government of the Russian Federation, on behalf of the Union, that the Union has completed its internal procedures necessary for the renewal of the Agreement in accordance with </w:t>
      </w:r>
      <w:r>
        <w:rPr>
          <w:noProof/>
        </w:rPr>
        <w:t xml:space="preserve">point (b) of </w:t>
      </w:r>
      <w:r>
        <w:rPr>
          <w:noProof/>
          <w:sz w:val="23"/>
          <w:szCs w:val="23"/>
        </w:rPr>
        <w:t xml:space="preserve">Article 12 of the Agreement.  </w:t>
      </w:r>
    </w:p>
    <w:p>
      <w:pPr>
        <w:pStyle w:val="Titrearticle"/>
        <w:keepNext w:val="0"/>
        <w:rPr>
          <w:noProof/>
        </w:rPr>
      </w:pPr>
      <w:r>
        <w:rPr>
          <w:noProof/>
        </w:rPr>
        <w:t>Article 3</w:t>
      </w:r>
    </w:p>
    <w:p>
      <w:pPr>
        <w:rPr>
          <w:noProof/>
        </w:rPr>
      </w:pPr>
      <w:r>
        <w:rPr>
          <w:noProof/>
          <w:sz w:val="23"/>
          <w:szCs w:val="23"/>
        </w:rPr>
        <w:t>This Decision shall enter into force on the day of its adoption.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renewal of the Agreement on cooperation in science and technology between the European Community and the Government of the Russian Federation</w:t>
      </w:r>
    </w:p>
    <w:p>
      <w:pPr>
        <w:pStyle w:val="ManualHeading2"/>
        <w:rPr>
          <w:noProof/>
          <w:szCs w:val="24"/>
        </w:rPr>
      </w:pPr>
      <w:r>
        <w:rPr>
          <w:noProof/>
        </w:rPr>
        <w:t>1.2.</w:t>
      </w:r>
      <w:r>
        <w:rPr>
          <w:noProof/>
        </w:rPr>
        <w:tab/>
        <w:t>Policy area(s) concerned in the ABM/ABB structure</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Policy strategy and coordination of, in particular, the Directorates-General</w:t>
      </w:r>
      <w:r>
        <w:rPr>
          <w:rStyle w:val="FootnoteReference"/>
          <w:noProof/>
          <w:sz w:val="23"/>
          <w:szCs w:val="23"/>
        </w:rPr>
        <w:footnoteReference w:id="12"/>
      </w:r>
      <w:r>
        <w:rPr>
          <w:noProof/>
          <w:sz w:val="23"/>
          <w:szCs w:val="23"/>
        </w:rPr>
        <w:t xml:space="preserve"> RTD, AGRI, CLIMA, JRC, EAC, ENER, GROW, CNECT, MARE and MOVE.</w:t>
      </w:r>
    </w:p>
    <w:p>
      <w:pPr>
        <w:pStyle w:val="ManualHeading2"/>
        <w:rPr>
          <w:bCs/>
          <w:noProof/>
        </w:rPr>
      </w:pPr>
      <w:r>
        <w:rPr>
          <w:noProof/>
        </w:rPr>
        <w:t>1.3.</w:t>
      </w:r>
      <w:r>
        <w:rPr>
          <w:noProof/>
        </w:rPr>
        <w:tab/>
        <w:t>Nature of the proposal/initiative</w:t>
      </w:r>
    </w:p>
    <w:p>
      <w:pPr>
        <w:pStyle w:val="Text1"/>
        <w:rPr>
          <w:noProof/>
        </w:rPr>
      </w:pPr>
      <w:r>
        <w:rPr>
          <w:noProof/>
          <w:sz w:val="22"/>
        </w:rPr>
        <w:sym w:font="Wingdings" w:char="F0A8"/>
      </w:r>
      <w:r>
        <w:rPr>
          <w:noProof/>
          <w:sz w:val="22"/>
        </w:rPr>
        <w:t xml:space="preserve"> </w:t>
      </w:r>
      <w:r>
        <w:rPr>
          <w:noProof/>
        </w:rPr>
        <w:t xml:space="preserve">The proposal/initiative relates to </w:t>
      </w:r>
      <w:r>
        <w:rPr>
          <w:b/>
          <w:noProof/>
        </w:rPr>
        <w:t>a new action</w:t>
      </w:r>
      <w:r>
        <w:rPr>
          <w:noProof/>
        </w:rPr>
        <w:t xml:space="preserve"> </w:t>
      </w:r>
    </w:p>
    <w:p>
      <w:pPr>
        <w:pStyle w:val="Text1"/>
        <w:rPr>
          <w:b/>
          <w:noProof/>
        </w:rPr>
      </w:pPr>
      <w:r>
        <w:rPr>
          <w:noProof/>
          <w:sz w:val="22"/>
        </w:rPr>
        <w:sym w:font="Wingdings" w:char="F0A8"/>
      </w:r>
      <w:r>
        <w:rPr>
          <w:noProof/>
          <w:sz w:val="22"/>
        </w:rPr>
        <w:t xml:space="preserve"> </w:t>
      </w:r>
      <w:r>
        <w:rPr>
          <w:noProof/>
        </w:rPr>
        <w:t xml:space="preserve">The proposal/initiative relates to </w:t>
      </w:r>
      <w:r>
        <w:rPr>
          <w:b/>
          <w:noProof/>
        </w:rPr>
        <w:t xml:space="preserve">a new action following a pilot project/preparatory action  </w:t>
      </w:r>
    </w:p>
    <w:p>
      <w:pPr>
        <w:pStyle w:val="Text1"/>
        <w:rPr>
          <w:noProof/>
        </w:rPr>
      </w:pPr>
      <w:r>
        <w:rPr>
          <w:noProof/>
          <w:sz w:val="22"/>
        </w:rPr>
        <w:sym w:font="Wingdings" w:char="F0FE"/>
      </w:r>
      <w:r>
        <w:rPr>
          <w:i/>
          <w:noProof/>
          <w:sz w:val="22"/>
        </w:rPr>
        <w:t xml:space="preserve"> </w:t>
      </w:r>
      <w:r>
        <w:rPr>
          <w:noProof/>
        </w:rPr>
        <w:t xml:space="preserve">The proposal/initiative relates to </w:t>
      </w:r>
      <w:r>
        <w:rPr>
          <w:b/>
          <w:noProof/>
        </w:rPr>
        <w:t>the extension of an existing action</w:t>
      </w:r>
      <w:r>
        <w:rPr>
          <w:noProof/>
        </w:rPr>
        <w:t xml:space="preserve"> </w:t>
      </w:r>
    </w:p>
    <w:p>
      <w:pPr>
        <w:pStyle w:val="Text1"/>
        <w:rPr>
          <w:noProof/>
        </w:rPr>
      </w:pPr>
      <w:r>
        <w:rPr>
          <w:noProof/>
          <w:sz w:val="22"/>
        </w:rPr>
        <w:sym w:font="Wingdings" w:char="F0A8"/>
      </w:r>
      <w:r>
        <w:rPr>
          <w:noProof/>
        </w:rPr>
        <w:t xml:space="preserve">The proposal/initiative relates to </w:t>
      </w:r>
      <w:r>
        <w:rPr>
          <w:b/>
          <w:noProof/>
        </w:rPr>
        <w:t>an action redirected towards a new action</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The present initiative will allow both Parties to improve and intensify their cooperation in scientific and technological areas of common interest.</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Specific objective No 4.1</w:t>
      </w:r>
    </w:p>
    <w:p>
      <w:pPr>
        <w:pStyle w:val="Text1"/>
        <w:pBdr>
          <w:top w:val="single" w:sz="4" w:space="1" w:color="auto"/>
          <w:left w:val="single" w:sz="4" w:space="4" w:color="auto"/>
          <w:bottom w:val="single" w:sz="4" w:space="1" w:color="auto"/>
          <w:right w:val="single" w:sz="4" w:space="3" w:color="auto"/>
        </w:pBdr>
        <w:rPr>
          <w:noProof/>
          <w:szCs w:val="24"/>
        </w:rPr>
      </w:pPr>
      <w:r>
        <w:rPr>
          <w:noProof/>
          <w:szCs w:val="24"/>
        </w:rPr>
        <w:t>This decision will allow both Parties to enhance the cooperation and develop a more strategic partnership by increasing the scale and scope of existing cooperation, addressing global challenges by promoting reciprocal access to programmes and funding</w:t>
      </w:r>
      <w:r>
        <w:rPr>
          <w:noProof/>
          <w:sz w:val="23"/>
          <w:szCs w:val="23"/>
        </w:rPr>
        <w:t xml:space="preserve">.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3" w:color="auto"/>
        </w:pBdr>
        <w:rPr>
          <w:noProof/>
        </w:rPr>
      </w:pP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This decision will allow both the Union and Russia to derive mutual benefit from the scientific and technical progress achieved through ongoing cooperation activities. It will allow for exchange of specific knowledge and transfer of know-how to the benefit of the scientific community, industry and citizens of both Parties.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Commission will regularly monitor all actions carried out under the Agreement, including cooperation activities. This evaluation will cover, among others, the following points: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(a) cooperation indicators — analysis of the number and type of participation of Russian entities in EU funded programmes (e.g. number of proposals, number of signed grant agreements, main collaboration links, main thematic; generated output) and vice-versa (whenever the data is available);</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(b) performance indicators — success rate of Russian entities participating in the EU framework programmes compared to other non-EU countries and to Member States/Associated countries to a Research Framework Programme; analysis of the quality of the participation (e.g. number of best ranked universities taking part on the programme, number of patents and publications coming from collaborative projects);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(c) data collection regarding cooperation activities and links that go beyond the respective research funding programmes as well as assessment of the impact of these activities, like participation in multilateral initiatives and working groups.</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This decision will allow the two Parties to continue to improve and intensify their cooperation in scientific and technological areas for mutual benefit.</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Cooperation in research &amp; innovation between the EU and the Russian Federation has been intensifying steadily in the past years. The involvement of the EU allows for activities with larger scale and scope for the benefit of all Member States. The renewal of this Agreement will allow the EU to have easier access to scientific knowledge produced in the Russian Federation and to engage in more cooperation activities leading to additional exchange of knowledge and technologies. </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Based on the experience so far in scientific and technological cooperation, it is considered mutually beneficial to continue research cooperation with the Russian Federation, as a strategic partner of the EU in research and innovation.</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renewal of the Agreement with the Russian Federation is considered to be fully consistent with the overall policy framework on international cooperation in research and innovation (COM(2012)497). </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ab/>
        <w:t>Proposal/initiative in effect from 20/02/2019 to 19/02/2024</w:t>
      </w:r>
    </w:p>
    <w:p>
      <w:pPr>
        <w:pStyle w:val="ListDash2"/>
        <w:rPr>
          <w:noProof/>
        </w:rPr>
      </w:pPr>
      <w:r>
        <w:rPr>
          <w:noProof/>
        </w:rPr>
        <w:sym w:font="Wingdings" w:char="F0FE"/>
      </w:r>
      <w:r>
        <w:rPr>
          <w:noProof/>
        </w:rPr>
        <w:tab/>
        <w:t>Financial impact from 20/02/2019 to 19/02/2024</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13"/>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Participation of Russian entities in the Framework Programme for Research and Innovation and other cooperative activities under the Agreement will be regularly followed through meetings of the Joint Committee established under Art. 6 letter (a) of the Agreement.</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Meetings and bilateral contacts take place on a regular basis allowing for the systematic sharing of information and control. No risks have been identified in the control system.</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When the implementation of the Framework Programme calls for the use of external contractors or entails granting financial contribution to third parties, the Commission will carry out, where appropriate, financial audits, in particular if it has reason to doubt the realistic nature of work performed or described in the activity reports.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Union’s financial audits will be carried out either by its own staff or by accounting experts approved according to the law of the audited party. The Union will choose the latter freely, while avoiding any risks of conflicts of interest which might be indicated to it by the party subject to the audit. In addition, the Commission will make sure, in carrying out the research activities, that the financial interests of the Union are protected by effective checks and, where irregularities are detected, by deterrent and proportionate measures and penalties.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order to achieve this aim, rules on checks, measures and penalties, with reference to Regulations No 2988/95, No 2185/96 and No 883/2013 will be incorporated in all contracts used in the implementation of the framework programme.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In particular, the following points will have to be provided for in the contracts:</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 the insertion of specific clauses in the contracts to protect the financial interests of the EU in carrying out checks and controls in relation to the work performed;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the carrying out of administrative checks as part of anti-fraud measures, in accordance with Regulations No 2185/96, No 1073/1999 and No 1074/1999;</w:t>
      </w:r>
    </w:p>
    <w:p>
      <w:pPr>
        <w:pStyle w:val="Text1"/>
        <w:pBdr>
          <w:top w:val="single" w:sz="4" w:space="1" w:color="auto"/>
          <w:left w:val="single" w:sz="4" w:space="4" w:color="auto"/>
          <w:bottom w:val="single" w:sz="4" w:space="1" w:color="auto"/>
          <w:right w:val="single" w:sz="4" w:space="4" w:color="auto"/>
        </w:pBdr>
        <w:rPr>
          <w:noProof/>
          <w:szCs w:val="24"/>
        </w:rPr>
      </w:pPr>
      <w:r>
        <w:rPr>
          <w:noProof/>
          <w:sz w:val="23"/>
          <w:szCs w:val="23"/>
        </w:rPr>
        <w:t xml:space="preserve">- </w:t>
      </w:r>
      <w:r>
        <w:rPr>
          <w:noProof/>
          <w:szCs w:val="24"/>
        </w:rPr>
        <w:t>the application of administrative penalties for all intentional or negligent irregularities in the implementation of the contracts, in accordance with the Framework Regulation No 2988/95, including a blacklisting mechanism;</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the fact that any recovery orders in the event of irregularities and fraud must be enforceable according to Article 299 of the Treaty on the Functioning of the European Union.</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In addition and as a routine measure, a programme of checks on scientific and budgetary aspects of cooperation will be carried out by the staff responsible in the Directorate – General for Research and Innovation (DG RTD). An internal audit will be carried out by the Internal Audit unit of DG RTD, and local inspections will be carried out by the European Court of Auditors.</w:t>
      </w:r>
    </w:p>
    <w:p>
      <w:pPr>
        <w:pStyle w:val="Text1"/>
        <w:pBdr>
          <w:top w:val="single" w:sz="4" w:space="1" w:color="auto"/>
          <w:left w:val="single" w:sz="4" w:space="0"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Existing budget lines</w:t>
      </w:r>
      <w:r>
        <w:rPr>
          <w:rStyle w:val="FootnoteReference"/>
          <w:noProof/>
        </w:rPr>
        <w:footnoteReference w:id="14"/>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Heading 1a – Competitiveness for growth and jobs</w:t>
            </w:r>
          </w:p>
        </w:tc>
        <w:tc>
          <w:tcPr>
            <w:tcW w:w="1080" w:type="dxa"/>
            <w:vAlign w:val="center"/>
          </w:tcPr>
          <w:p>
            <w:pPr>
              <w:jc w:val="center"/>
              <w:rPr>
                <w:noProof/>
                <w:sz w:val="22"/>
              </w:rPr>
            </w:pPr>
            <w:r>
              <w:rPr>
                <w:noProof/>
                <w:sz w:val="18"/>
              </w:rPr>
              <w:t>Diff./Non-diff.</w:t>
            </w:r>
            <w:r>
              <w:rPr>
                <w:rStyle w:val="FootnoteReference"/>
                <w:noProof/>
                <w:sz w:val="18"/>
              </w:rPr>
              <w:footnoteReference w:id="15"/>
            </w:r>
          </w:p>
        </w:tc>
        <w:tc>
          <w:tcPr>
            <w:tcW w:w="956" w:type="dxa"/>
            <w:vAlign w:val="center"/>
          </w:tcPr>
          <w:p>
            <w:pPr>
              <w:jc w:val="center"/>
              <w:rPr>
                <w:noProof/>
                <w:sz w:val="22"/>
              </w:rPr>
            </w:pPr>
            <w:r>
              <w:rPr>
                <w:noProof/>
                <w:sz w:val="18"/>
              </w:rPr>
              <w:t>from EFTA countries</w:t>
            </w:r>
            <w:r>
              <w:rPr>
                <w:rStyle w:val="FootnoteReference"/>
                <w:noProof/>
                <w:sz w:val="18"/>
              </w:rPr>
              <w:footnoteReference w:id="16"/>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7"/>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08.01.05.01</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08.01.05.03</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pStyle w:val="ManualHeading3"/>
        <w:rPr>
          <w:noProof/>
          <w:u w:val="single"/>
        </w:rPr>
      </w:pPr>
      <w:r>
        <w:rPr>
          <w:noProof/>
        </w:rPr>
        <w:t>3.2.1.</w:t>
      </w:r>
      <w:r>
        <w:rPr>
          <w:noProof/>
        </w:rPr>
        <w:tab/>
        <w:t xml:space="preserve">Summary of estimated impact on expenditure </w:t>
      </w:r>
    </w:p>
    <w:p>
      <w:pPr>
        <w:jc w:val="center"/>
        <w:rPr>
          <w:noProof/>
          <w:sz w:val="20"/>
        </w:rPr>
      </w:pPr>
      <w:r>
        <w:rPr>
          <w:noProof/>
          <w:sz w:val="20"/>
        </w:rPr>
        <w:t>EUR million (to three decimal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1080"/>
        <w:gridCol w:w="7104"/>
      </w:tblGrid>
      <w:tr>
        <w:tc>
          <w:tcPr>
            <w:tcW w:w="4291"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104" w:type="dxa"/>
            <w:vAlign w:val="center"/>
          </w:tcPr>
          <w:p>
            <w:pPr>
              <w:spacing w:before="60" w:after="60"/>
              <w:rPr>
                <w:noProof/>
                <w:sz w:val="22"/>
              </w:rPr>
            </w:pPr>
            <w:r>
              <w:rPr>
                <w:noProof/>
              </w:rPr>
              <w:t xml:space="preserve">'Competetiveness for growth and jobs' </w:t>
            </w:r>
          </w:p>
        </w:tc>
      </w:tr>
    </w:tbl>
    <w:p>
      <w:pPr>
        <w:rPr>
          <w:noProof/>
          <w:sz w:val="16"/>
        </w:rPr>
      </w:pPr>
    </w:p>
    <w:tbl>
      <w:tblPr>
        <w:tblW w:w="12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794"/>
        <w:gridCol w:w="960"/>
        <w:gridCol w:w="1200"/>
      </w:tblGrid>
      <w:tr>
        <w:tc>
          <w:tcPr>
            <w:tcW w:w="3960" w:type="dxa"/>
            <w:vAlign w:val="center"/>
          </w:tcPr>
          <w:p>
            <w:pPr>
              <w:jc w:val="center"/>
              <w:rPr>
                <w:noProof/>
                <w:sz w:val="22"/>
              </w:rPr>
            </w:pPr>
            <w:r>
              <w:rPr>
                <w:noProof/>
                <w:sz w:val="22"/>
              </w:rPr>
              <w:t>DG: RTD</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r>
              <w:rPr>
                <w:rStyle w:val="FootnoteReference"/>
                <w:b/>
                <w:noProof/>
                <w:sz w:val="20"/>
              </w:rPr>
              <w:footnoteReference w:id="18"/>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794" w:type="dxa"/>
          </w:tcPr>
          <w:p>
            <w:pPr>
              <w:jc w:val="center"/>
              <w:rPr>
                <w:b/>
                <w:noProof/>
                <w:sz w:val="20"/>
              </w:rPr>
            </w:pPr>
            <w:r>
              <w:rPr>
                <w:noProof/>
                <w:sz w:val="20"/>
              </w:rPr>
              <w:t>Year</w:t>
            </w:r>
            <w:r>
              <w:rPr>
                <w:noProof/>
                <w:sz w:val="22"/>
              </w:rPr>
              <w:br/>
            </w:r>
            <w:r>
              <w:rPr>
                <w:b/>
                <w:noProof/>
                <w:sz w:val="20"/>
              </w:rPr>
              <w:t>2023</w:t>
            </w:r>
          </w:p>
        </w:tc>
        <w:tc>
          <w:tcPr>
            <w:tcW w:w="960" w:type="dxa"/>
          </w:tcPr>
          <w:p>
            <w:pPr>
              <w:jc w:val="center"/>
              <w:rPr>
                <w:b/>
                <w:noProof/>
                <w:sz w:val="20"/>
              </w:rPr>
            </w:pPr>
            <w:r>
              <w:rPr>
                <w:noProof/>
                <w:sz w:val="20"/>
              </w:rPr>
              <w:t>Year</w:t>
            </w:r>
            <w:r>
              <w:rPr>
                <w:noProof/>
                <w:sz w:val="22"/>
              </w:rPr>
              <w:br/>
            </w:r>
            <w:r>
              <w:rPr>
                <w:b/>
                <w:noProof/>
                <w:sz w:val="20"/>
              </w:rPr>
              <w:t>2024</w:t>
            </w:r>
          </w:p>
        </w:tc>
        <w:tc>
          <w:tcPr>
            <w:tcW w:w="12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Number of budget line: </w:t>
            </w:r>
            <w:r>
              <w:rPr>
                <w:b/>
                <w:bCs/>
                <w:noProof/>
                <w:sz w:val="18"/>
                <w:szCs w:val="18"/>
              </w:rPr>
              <w:t>08.01.05.01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9"/>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Number of budget line: </w:t>
            </w:r>
            <w:r>
              <w:rPr>
                <w:b/>
                <w:bCs/>
                <w:noProof/>
                <w:sz w:val="18"/>
                <w:szCs w:val="18"/>
              </w:rPr>
              <w:t>08.01.05.03</w:t>
            </w:r>
          </w:p>
        </w:tc>
        <w:tc>
          <w:tcPr>
            <w:tcW w:w="1440" w:type="dxa"/>
            <w:vAlign w:val="center"/>
          </w:tcPr>
          <w:p>
            <w:pPr>
              <w:pStyle w:val="Default"/>
              <w:jc w:val="right"/>
              <w:rPr>
                <w:noProof/>
                <w:sz w:val="18"/>
                <w:szCs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0.010</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794" w:type="dxa"/>
          </w:tcPr>
          <w:p>
            <w:pPr>
              <w:spacing w:before="40" w:after="40"/>
              <w:jc w:val="right"/>
              <w:rPr>
                <w:b/>
                <w:noProof/>
                <w:sz w:val="20"/>
              </w:rPr>
            </w:pPr>
            <w:r>
              <w:rPr>
                <w:b/>
                <w:noProof/>
                <w:sz w:val="20"/>
              </w:rPr>
              <w:t>0.012</w:t>
            </w:r>
          </w:p>
        </w:tc>
        <w:tc>
          <w:tcPr>
            <w:tcW w:w="960" w:type="dxa"/>
          </w:tcPr>
          <w:p>
            <w:pPr>
              <w:spacing w:before="40" w:after="40"/>
              <w:jc w:val="right"/>
              <w:rPr>
                <w:b/>
                <w:noProof/>
                <w:sz w:val="20"/>
              </w:rPr>
            </w:pPr>
            <w:r>
              <w:rPr>
                <w:b/>
                <w:noProof/>
                <w:sz w:val="20"/>
              </w:rPr>
              <w:t>0.002</w:t>
            </w:r>
          </w:p>
        </w:tc>
        <w:tc>
          <w:tcPr>
            <w:tcW w:w="1200" w:type="dxa"/>
            <w:vAlign w:val="center"/>
          </w:tcPr>
          <w:p>
            <w:pPr>
              <w:spacing w:before="40" w:after="40"/>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794"/>
        <w:gridCol w:w="942"/>
        <w:gridCol w:w="1218"/>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pStyle w:val="Default"/>
              <w:jc w:val="right"/>
              <w:rPr>
                <w:noProof/>
                <w:sz w:val="20"/>
                <w:szCs w:val="20"/>
              </w:rPr>
            </w:pPr>
            <w:r>
              <w:rPr>
                <w:b/>
                <w:noProof/>
                <w:sz w:val="20"/>
              </w:rPr>
              <w:t>0.010</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794" w:type="dxa"/>
            <w:vAlign w:val="center"/>
          </w:tcPr>
          <w:p>
            <w:pPr>
              <w:pStyle w:val="Default"/>
              <w:jc w:val="right"/>
              <w:rPr>
                <w:b/>
                <w:noProof/>
                <w:sz w:val="20"/>
                <w:szCs w:val="20"/>
              </w:rPr>
            </w:pPr>
            <w:r>
              <w:rPr>
                <w:b/>
                <w:noProof/>
                <w:sz w:val="20"/>
              </w:rPr>
              <w:t>0.012</w:t>
            </w:r>
          </w:p>
        </w:tc>
        <w:tc>
          <w:tcPr>
            <w:tcW w:w="942" w:type="dxa"/>
            <w:vAlign w:val="center"/>
          </w:tcPr>
          <w:p>
            <w:pPr>
              <w:pStyle w:val="Default"/>
              <w:jc w:val="right"/>
              <w:rPr>
                <w:b/>
                <w:noProof/>
                <w:sz w:val="20"/>
                <w:szCs w:val="20"/>
              </w:rPr>
            </w:pPr>
            <w:r>
              <w:rPr>
                <w:b/>
                <w:noProof/>
                <w:sz w:val="20"/>
              </w:rPr>
              <w:t>0.002</w:t>
            </w:r>
          </w:p>
        </w:tc>
        <w:tc>
          <w:tcPr>
            <w:tcW w:w="1218" w:type="dxa"/>
            <w:vAlign w:val="center"/>
          </w:tcPr>
          <w:p>
            <w:pPr>
              <w:pStyle w:val="Default"/>
              <w:jc w:val="right"/>
              <w:rPr>
                <w:b/>
                <w:noProof/>
                <w:sz w:val="20"/>
                <w:szCs w:val="20"/>
              </w:rPr>
            </w:pPr>
            <w:r>
              <w:rPr>
                <w:b/>
                <w:noProof/>
                <w:sz w:val="20"/>
              </w:rPr>
              <w:t>0.060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707"/>
        <w:gridCol w:w="161"/>
        <w:gridCol w:w="868"/>
        <w:gridCol w:w="674"/>
        <w:gridCol w:w="840"/>
        <w:gridCol w:w="324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gridSpan w:val="2"/>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674" w:type="dxa"/>
          </w:tcPr>
          <w:p>
            <w:pPr>
              <w:jc w:val="center"/>
              <w:rPr>
                <w:b/>
                <w:noProof/>
                <w:sz w:val="20"/>
              </w:rPr>
            </w:pPr>
            <w:r>
              <w:rPr>
                <w:noProof/>
                <w:sz w:val="20"/>
              </w:rPr>
              <w:t>Year</w:t>
            </w:r>
            <w:r>
              <w:rPr>
                <w:b/>
                <w:noProof/>
                <w:sz w:val="20"/>
              </w:rPr>
              <w:t xml:space="preserve"> 2023</w:t>
            </w:r>
          </w:p>
        </w:tc>
        <w:tc>
          <w:tcPr>
            <w:tcW w:w="840" w:type="dxa"/>
          </w:tcPr>
          <w:p>
            <w:pPr>
              <w:jc w:val="center"/>
              <w:rPr>
                <w:b/>
                <w:noProof/>
                <w:sz w:val="20"/>
              </w:rPr>
            </w:pPr>
            <w:r>
              <w:rPr>
                <w:noProof/>
                <w:sz w:val="20"/>
              </w:rPr>
              <w:t xml:space="preserve">Year </w:t>
            </w:r>
            <w:r>
              <w:rPr>
                <w:b/>
                <w:noProof/>
                <w:sz w:val="20"/>
              </w:rPr>
              <w:t>2024</w:t>
            </w:r>
          </w:p>
        </w:tc>
        <w:tc>
          <w:tcPr>
            <w:tcW w:w="3240" w:type="dxa"/>
            <w:vAlign w:val="center"/>
          </w:tcPr>
          <w:p>
            <w:pPr>
              <w:jc w:val="center"/>
              <w:rPr>
                <w:b/>
                <w:noProof/>
                <w:sz w:val="20"/>
              </w:rPr>
            </w:pPr>
            <w:r>
              <w:rPr>
                <w:b/>
                <w:noProof/>
                <w:sz w:val="20"/>
              </w:rPr>
              <w:t>TOTAL</w:t>
            </w:r>
          </w:p>
        </w:tc>
      </w:tr>
      <w:tr>
        <w:trPr>
          <w:gridAfter w:val="5"/>
          <w:wAfter w:w="5783" w:type="dxa"/>
        </w:trPr>
        <w:tc>
          <w:tcPr>
            <w:tcW w:w="3960" w:type="dxa"/>
            <w:vAlign w:val="center"/>
          </w:tcPr>
          <w:p>
            <w:pPr>
              <w:spacing w:before="60" w:after="60"/>
              <w:jc w:val="center"/>
              <w:rPr>
                <w:noProof/>
                <w:sz w:val="22"/>
              </w:rPr>
            </w:pPr>
            <w:r>
              <w:rPr>
                <w:noProof/>
                <w:sz w:val="22"/>
              </w:rPr>
              <w:t>DG: RTD</w:t>
            </w:r>
          </w:p>
        </w:tc>
        <w:tc>
          <w:tcPr>
            <w:tcW w:w="4537" w:type="dxa"/>
            <w:gridSpan w:val="5"/>
            <w:tcBorders>
              <w:right w:val="nil"/>
            </w:tcBorders>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674" w:type="dxa"/>
          </w:tcPr>
          <w:p>
            <w:pPr>
              <w:spacing w:before="20" w:after="20"/>
              <w:jc w:val="right"/>
              <w:rPr>
                <w:b/>
                <w:noProof/>
                <w:sz w:val="20"/>
              </w:rPr>
            </w:pPr>
          </w:p>
        </w:tc>
        <w:tc>
          <w:tcPr>
            <w:tcW w:w="840" w:type="dxa"/>
          </w:tcPr>
          <w:p>
            <w:pPr>
              <w:spacing w:before="20" w:after="20"/>
              <w:jc w:val="right"/>
              <w:rPr>
                <w:b/>
                <w:noProof/>
                <w:sz w:val="20"/>
              </w:rPr>
            </w:pPr>
          </w:p>
        </w:tc>
        <w:tc>
          <w:tcPr>
            <w:tcW w:w="324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 RTD</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674"/>
        <w:gridCol w:w="840"/>
        <w:gridCol w:w="3240"/>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27"/>
        <w:gridCol w:w="909"/>
        <w:gridCol w:w="868"/>
        <w:gridCol w:w="868"/>
        <w:gridCol w:w="899"/>
        <w:gridCol w:w="850"/>
        <w:gridCol w:w="300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27" w:type="dxa"/>
            <w:vAlign w:val="center"/>
          </w:tcPr>
          <w:p>
            <w:pPr>
              <w:jc w:val="center"/>
              <w:rPr>
                <w:noProof/>
                <w:sz w:val="20"/>
              </w:rPr>
            </w:pPr>
            <w:r>
              <w:rPr>
                <w:noProof/>
                <w:sz w:val="20"/>
              </w:rPr>
              <w:t>Year</w:t>
            </w:r>
            <w:r>
              <w:rPr>
                <w:noProof/>
                <w:sz w:val="22"/>
              </w:rPr>
              <w:br/>
            </w:r>
            <w:r>
              <w:rPr>
                <w:b/>
                <w:noProof/>
                <w:sz w:val="20"/>
              </w:rPr>
              <w:t>2019</w:t>
            </w:r>
            <w:r>
              <w:rPr>
                <w:rStyle w:val="FootnoteReference"/>
                <w:b/>
                <w:noProof/>
                <w:sz w:val="20"/>
              </w:rPr>
              <w:footnoteReference w:id="20"/>
            </w:r>
          </w:p>
        </w:tc>
        <w:tc>
          <w:tcPr>
            <w:tcW w:w="909"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99" w:type="dxa"/>
          </w:tcPr>
          <w:p>
            <w:pPr>
              <w:jc w:val="center"/>
              <w:rPr>
                <w:b/>
                <w:noProof/>
                <w:sz w:val="20"/>
              </w:rPr>
            </w:pPr>
            <w:r>
              <w:rPr>
                <w:noProof/>
                <w:sz w:val="20"/>
              </w:rPr>
              <w:t>Year</w:t>
            </w:r>
            <w:r>
              <w:rPr>
                <w:noProof/>
                <w:sz w:val="22"/>
              </w:rPr>
              <w:br/>
            </w:r>
            <w:r>
              <w:rPr>
                <w:b/>
                <w:noProof/>
                <w:sz w:val="20"/>
              </w:rPr>
              <w:t>2023</w:t>
            </w:r>
          </w:p>
        </w:tc>
        <w:tc>
          <w:tcPr>
            <w:tcW w:w="850" w:type="dxa"/>
          </w:tcPr>
          <w:p>
            <w:pPr>
              <w:jc w:val="center"/>
              <w:rPr>
                <w:b/>
                <w:noProof/>
                <w:sz w:val="20"/>
              </w:rPr>
            </w:pPr>
            <w:r>
              <w:rPr>
                <w:noProof/>
                <w:sz w:val="20"/>
              </w:rPr>
              <w:t>Year</w:t>
            </w:r>
            <w:r>
              <w:rPr>
                <w:noProof/>
                <w:sz w:val="22"/>
              </w:rPr>
              <w:br/>
            </w:r>
            <w:r>
              <w:rPr>
                <w:b/>
                <w:noProof/>
                <w:sz w:val="20"/>
              </w:rPr>
              <w:t>2024</w:t>
            </w:r>
          </w:p>
        </w:tc>
        <w:tc>
          <w:tcPr>
            <w:tcW w:w="300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FE"/>
      </w:r>
      <w:r>
        <w:rPr>
          <w:noProof/>
        </w:rPr>
        <w:tab/>
        <w:t xml:space="preserve">The proposal/initiative does not require the use of operational appropriations </w:t>
      </w:r>
    </w:p>
    <w:p>
      <w:pPr>
        <w:rPr>
          <w:noProof/>
        </w:rPr>
      </w:pPr>
    </w:p>
    <w:p>
      <w:pPr>
        <w:jc w:val="center"/>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pStyle w:val="Text1"/>
        <w:rPr>
          <w:noProof/>
        </w:rPr>
      </w:pPr>
    </w:p>
    <w:p>
      <w:pPr>
        <w:jc w:val="cente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2023</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2024</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4"/>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pStyle w:val="Default"/>
              <w:jc w:val="right"/>
              <w:rPr>
                <w:noProof/>
                <w:sz w:val="20"/>
                <w:szCs w:val="20"/>
              </w:rPr>
            </w:pPr>
            <w:r>
              <w:rPr>
                <w:b/>
                <w:bCs/>
                <w:noProof/>
                <w:sz w:val="20"/>
                <w:szCs w:val="20"/>
              </w:rPr>
              <w:t>0.050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b/>
                <w:bCs/>
                <w:noProof/>
                <w:sz w:val="20"/>
                <w:szCs w:val="20"/>
              </w:rPr>
            </w:pPr>
            <w:r>
              <w:rPr>
                <w:b/>
                <w:bCs/>
                <w:noProof/>
                <w:sz w:val="20"/>
                <w:szCs w:val="20"/>
              </w:rPr>
              <w:t>0.060</w:t>
            </w:r>
          </w:p>
        </w:tc>
        <w:tc>
          <w:tcPr>
            <w:tcW w:w="1080" w:type="dxa"/>
            <w:vAlign w:val="center"/>
          </w:tcPr>
          <w:p>
            <w:pPr>
              <w:pStyle w:val="Default"/>
              <w:jc w:val="right"/>
              <w:rPr>
                <w:b/>
                <w:noProof/>
                <w:sz w:val="20"/>
                <w:szCs w:val="20"/>
              </w:rPr>
            </w:pPr>
            <w:r>
              <w:rPr>
                <w:b/>
                <w:noProof/>
                <w:sz w:val="20"/>
                <w:szCs w:val="20"/>
              </w:rPr>
              <w:t>0.060</w:t>
            </w:r>
          </w:p>
        </w:tc>
        <w:tc>
          <w:tcPr>
            <w:tcW w:w="1080" w:type="dxa"/>
            <w:vAlign w:val="center"/>
          </w:tcPr>
          <w:p>
            <w:pPr>
              <w:pStyle w:val="Default"/>
              <w:jc w:val="right"/>
              <w:rPr>
                <w:b/>
                <w:noProof/>
                <w:sz w:val="20"/>
                <w:szCs w:val="20"/>
              </w:rPr>
            </w:pPr>
            <w:r>
              <w:rPr>
                <w:b/>
                <w:noProof/>
                <w:sz w:val="20"/>
                <w:szCs w:val="20"/>
              </w:rPr>
              <w:t>0.010</w:t>
            </w:r>
          </w:p>
        </w:tc>
        <w:tc>
          <w:tcPr>
            <w:tcW w:w="1080" w:type="dxa"/>
            <w:vAlign w:val="center"/>
          </w:tcPr>
          <w:p>
            <w:pPr>
              <w:pStyle w:val="Default"/>
              <w:jc w:val="right"/>
              <w:rPr>
                <w:b/>
                <w:noProof/>
                <w:sz w:val="20"/>
                <w:szCs w:val="20"/>
              </w:rPr>
            </w:pPr>
            <w:r>
              <w:rPr>
                <w:b/>
                <w:noProof/>
                <w:sz w:val="20"/>
                <w:szCs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b/>
                <w:noProof/>
                <w:sz w:val="20"/>
              </w:rPr>
              <w:t>0.010</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0.002</w:t>
            </w:r>
          </w:p>
        </w:tc>
        <w:tc>
          <w:tcPr>
            <w:tcW w:w="1080" w:type="dxa"/>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pStyle w:val="Default"/>
              <w:jc w:val="right"/>
              <w:rPr>
                <w:noProof/>
                <w:sz w:val="20"/>
                <w:szCs w:val="20"/>
              </w:rPr>
            </w:pPr>
            <w:r>
              <w:rPr>
                <w:b/>
                <w:noProof/>
                <w:sz w:val="20"/>
              </w:rPr>
              <w:t>0.060</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b/>
                <w:bCs/>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0.012</w:t>
            </w:r>
          </w:p>
        </w:tc>
        <w:tc>
          <w:tcPr>
            <w:tcW w:w="1080" w:type="dxa"/>
            <w:vAlign w:val="center"/>
          </w:tcPr>
          <w:p>
            <w:pPr>
              <w:pStyle w:val="Default"/>
              <w:jc w:val="right"/>
              <w:rPr>
                <w:b/>
                <w:noProof/>
                <w:sz w:val="20"/>
                <w:szCs w:val="20"/>
              </w:rPr>
            </w:pPr>
            <w:r>
              <w:rPr>
                <w:b/>
                <w:noProof/>
                <w:sz w:val="20"/>
              </w:rPr>
              <w:t>0.360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highlight w:val="yellow"/>
              </w:rPr>
            </w:pPr>
            <w:r>
              <w:rPr>
                <w:b/>
                <w:noProof/>
                <w:sz w:val="20"/>
              </w:rPr>
              <w:t>0.360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6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72"/>
        <w:gridCol w:w="2002"/>
        <w:gridCol w:w="601"/>
        <w:gridCol w:w="839"/>
        <w:gridCol w:w="841"/>
        <w:gridCol w:w="721"/>
        <w:gridCol w:w="636"/>
        <w:gridCol w:w="321"/>
        <w:gridCol w:w="956"/>
      </w:tblGrid>
      <w:tr>
        <w:trPr>
          <w:trHeight w:val="289"/>
          <w:jc w:val="center"/>
        </w:trPr>
        <w:tc>
          <w:tcPr>
            <w:tcW w:w="2171" w:type="pct"/>
            <w:gridSpan w:val="2"/>
            <w:shd w:val="clear" w:color="auto" w:fill="auto"/>
          </w:tcPr>
          <w:p>
            <w:pPr>
              <w:pStyle w:val="Text1"/>
              <w:spacing w:before="40" w:after="40"/>
              <w:ind w:left="0"/>
              <w:jc w:val="center"/>
              <w:rPr>
                <w:i/>
                <w:noProof/>
                <w:sz w:val="16"/>
                <w:szCs w:val="16"/>
              </w:rPr>
            </w:pPr>
          </w:p>
        </w:tc>
        <w:tc>
          <w:tcPr>
            <w:tcW w:w="346"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483"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484"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2021</w:t>
            </w:r>
          </w:p>
        </w:tc>
        <w:tc>
          <w:tcPr>
            <w:tcW w:w="415"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2022</w:t>
            </w:r>
          </w:p>
        </w:tc>
        <w:tc>
          <w:tcPr>
            <w:tcW w:w="551" w:type="pct"/>
            <w:gridSpan w:val="2"/>
            <w:vAlign w:val="center"/>
          </w:tcPr>
          <w:p>
            <w:pPr>
              <w:spacing w:before="20" w:after="20"/>
              <w:jc w:val="center"/>
              <w:rPr>
                <w:noProof/>
                <w:sz w:val="16"/>
                <w:szCs w:val="16"/>
              </w:rPr>
            </w:pPr>
            <w:r>
              <w:rPr>
                <w:noProof/>
                <w:sz w:val="16"/>
                <w:szCs w:val="16"/>
              </w:rPr>
              <w:t>Year</w:t>
            </w:r>
          </w:p>
          <w:p>
            <w:pPr>
              <w:jc w:val="center"/>
              <w:rPr>
                <w:b/>
                <w:noProof/>
                <w:sz w:val="16"/>
              </w:rPr>
            </w:pPr>
            <w:r>
              <w:rPr>
                <w:b/>
                <w:noProof/>
                <w:sz w:val="16"/>
                <w:szCs w:val="16"/>
              </w:rPr>
              <w:t>2023</w:t>
            </w:r>
          </w:p>
        </w:tc>
        <w:tc>
          <w:tcPr>
            <w:tcW w:w="551" w:type="pct"/>
            <w:shd w:val="clear" w:color="auto" w:fill="auto"/>
            <w:vAlign w:val="center"/>
          </w:tcPr>
          <w:p>
            <w:pPr>
              <w:spacing w:before="20" w:after="20"/>
              <w:jc w:val="center"/>
              <w:rPr>
                <w:noProof/>
                <w:sz w:val="16"/>
                <w:szCs w:val="16"/>
              </w:rPr>
            </w:pPr>
            <w:r>
              <w:rPr>
                <w:noProof/>
                <w:sz w:val="16"/>
                <w:szCs w:val="16"/>
              </w:rPr>
              <w:t>Year</w:t>
            </w:r>
          </w:p>
          <w:p>
            <w:pPr>
              <w:jc w:val="center"/>
              <w:rPr>
                <w:b/>
                <w:noProof/>
                <w:sz w:val="16"/>
                <w:szCs w:val="16"/>
              </w:rPr>
            </w:pPr>
            <w:r>
              <w:rPr>
                <w:b/>
                <w:noProof/>
                <w:sz w:val="16"/>
                <w:szCs w:val="16"/>
              </w:rPr>
              <w:t>2024</w:t>
            </w:r>
          </w:p>
        </w:tc>
      </w:tr>
      <w:tr>
        <w:trPr>
          <w:trHeight w:val="289"/>
          <w:jc w:val="center"/>
        </w:trPr>
        <w:tc>
          <w:tcPr>
            <w:tcW w:w="3483"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415" w:type="pct"/>
            <w:shd w:val="clear" w:color="auto" w:fill="auto"/>
            <w:vAlign w:val="center"/>
          </w:tcPr>
          <w:p>
            <w:pPr>
              <w:spacing w:before="20" w:after="20"/>
              <w:jc w:val="center"/>
              <w:rPr>
                <w:noProof/>
                <w:sz w:val="16"/>
                <w:szCs w:val="16"/>
              </w:rPr>
            </w:pPr>
          </w:p>
        </w:tc>
        <w:tc>
          <w:tcPr>
            <w:tcW w:w="551" w:type="pct"/>
            <w:gridSpan w:val="2"/>
          </w:tcPr>
          <w:p>
            <w:pPr>
              <w:jc w:val="center"/>
              <w:rPr>
                <w:noProof/>
                <w:sz w:val="16"/>
                <w:szCs w:val="16"/>
              </w:rPr>
            </w:pPr>
          </w:p>
        </w:tc>
        <w:tc>
          <w:tcPr>
            <w:tcW w:w="551" w:type="pct"/>
            <w:shd w:val="clear" w:color="auto" w:fill="auto"/>
            <w:vAlign w:val="center"/>
          </w:tcPr>
          <w:p>
            <w:pPr>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(Indirect research)</w:t>
            </w:r>
          </w:p>
        </w:tc>
        <w:tc>
          <w:tcPr>
            <w:tcW w:w="346" w:type="pct"/>
            <w:shd w:val="clear" w:color="auto" w:fill="auto"/>
            <w:vAlign w:val="center"/>
          </w:tcPr>
          <w:p>
            <w:pPr>
              <w:spacing w:beforeLines="20" w:before="48" w:afterLines="20" w:after="48"/>
              <w:jc w:val="center"/>
              <w:rPr>
                <w:noProof/>
                <w:sz w:val="16"/>
                <w:szCs w:val="16"/>
              </w:rPr>
            </w:pPr>
            <w:r>
              <w:rPr>
                <w:noProof/>
                <w:sz w:val="16"/>
                <w:szCs w:val="16"/>
              </w:rPr>
              <w:t>0.4</w:t>
            </w:r>
          </w:p>
        </w:tc>
        <w:tc>
          <w:tcPr>
            <w:tcW w:w="483"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84"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15"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51" w:type="pct"/>
            <w:gridSpan w:val="2"/>
          </w:tcPr>
          <w:p>
            <w:pPr>
              <w:spacing w:beforeLines="20" w:before="48" w:afterLines="20" w:after="48"/>
              <w:jc w:val="center"/>
              <w:rPr>
                <w:noProof/>
                <w:sz w:val="16"/>
                <w:szCs w:val="16"/>
              </w:rPr>
            </w:pPr>
            <w:r>
              <w:rPr>
                <w:noProof/>
                <w:sz w:val="16"/>
                <w:szCs w:val="16"/>
              </w:rPr>
              <w:t>0.5</w:t>
            </w:r>
          </w:p>
        </w:tc>
        <w:tc>
          <w:tcPr>
            <w:tcW w:w="551" w:type="pct"/>
            <w:shd w:val="clear" w:color="auto" w:fill="auto"/>
            <w:vAlign w:val="center"/>
          </w:tcPr>
          <w:p>
            <w:pPr>
              <w:spacing w:beforeLines="20" w:before="48" w:afterLines="20" w:after="48"/>
              <w:jc w:val="center"/>
              <w:rPr>
                <w:noProof/>
                <w:sz w:val="16"/>
                <w:szCs w:val="16"/>
              </w:rPr>
            </w:pPr>
            <w:r>
              <w:rPr>
                <w:noProof/>
                <w:sz w:val="16"/>
                <w:szCs w:val="16"/>
              </w:rPr>
              <w:t>0.1</w:t>
            </w: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gridAfter w:val="2"/>
          <w:wAfter w:w="736" w:type="pct"/>
          <w:trHeight w:val="248"/>
          <w:jc w:val="center"/>
        </w:trPr>
        <w:tc>
          <w:tcPr>
            <w:tcW w:w="3483"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5"/>
            </w:r>
          </w:p>
          <w:p>
            <w:pPr>
              <w:pStyle w:val="Text1"/>
              <w:spacing w:before="0" w:after="0"/>
              <w:ind w:left="0"/>
              <w:jc w:val="left"/>
              <w:rPr>
                <w:noProof/>
                <w:sz w:val="16"/>
                <w:szCs w:val="16"/>
              </w:rPr>
            </w:pPr>
          </w:p>
        </w:tc>
        <w:tc>
          <w:tcPr>
            <w:tcW w:w="781" w:type="pct"/>
            <w:gridSpan w:val="2"/>
          </w:tcPr>
          <w:p>
            <w:pPr>
              <w:pStyle w:val="Text1"/>
              <w:spacing w:before="60" w:after="60"/>
              <w:ind w:left="0"/>
              <w:jc w:val="left"/>
              <w:rPr>
                <w:b/>
                <w:noProof/>
                <w:sz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shd w:val="clear" w:color="auto" w:fill="auto"/>
            <w:vAlign w:val="center"/>
          </w:tcPr>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4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1" w:type="pct"/>
            <w:gridSpan w:val="2"/>
            <w:tcBorders>
              <w:bottom w:val="double" w:sz="4" w:space="0" w:color="auto"/>
            </w:tcBorders>
          </w:tcPr>
          <w:p>
            <w:pPr>
              <w:spacing w:beforeLines="20" w:before="48" w:afterLines="20" w:after="48"/>
              <w:jc w:val="center"/>
              <w:rPr>
                <w:noProof/>
                <w:sz w:val="16"/>
                <w:szCs w:val="16"/>
              </w:rPr>
            </w:pPr>
          </w:p>
        </w:tc>
        <w:tc>
          <w:tcPr>
            <w:tcW w:w="55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4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0.4</w:t>
            </w:r>
          </w:p>
        </w:tc>
        <w:tc>
          <w:tcPr>
            <w:tcW w:w="48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8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551" w:type="pct"/>
            <w:gridSpan w:val="2"/>
            <w:tcBorders>
              <w:top w:val="double" w:sz="4" w:space="0" w:color="auto"/>
            </w:tcBorders>
          </w:tcPr>
          <w:p>
            <w:pPr>
              <w:spacing w:beforeLines="20" w:before="48" w:afterLines="20" w:after="48"/>
              <w:jc w:val="center"/>
              <w:rPr>
                <w:b/>
                <w:noProof/>
                <w:sz w:val="16"/>
                <w:szCs w:val="16"/>
              </w:rPr>
            </w:pPr>
            <w:r>
              <w:rPr>
                <w:noProof/>
                <w:sz w:val="16"/>
                <w:szCs w:val="16"/>
              </w:rPr>
              <w:t>0.5</w:t>
            </w:r>
          </w:p>
        </w:tc>
        <w:tc>
          <w:tcPr>
            <w:tcW w:w="5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0.1</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management of meetings of the Joint Consultative Group established under Art. 6(b) of the Agreement, as well as follow –up of the functioning and implementation of the Agreement.</w:t>
            </w:r>
          </w:p>
          <w:p>
            <w:pPr>
              <w:rPr>
                <w:noProof/>
                <w:sz w:val="20"/>
              </w:rPr>
            </w:pPr>
            <w:r>
              <w:rPr>
                <w:noProof/>
                <w:sz w:val="20"/>
              </w:rPr>
              <w:t>Calculations are done proportionally considering the duration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Multiannual Financial Framework 2021-2027 is still to be adopted by the European Parliament and Council.</w:t>
      </w:r>
    </w:p>
    <w:p>
      <w:pPr>
        <w:rPr>
          <w:noProof/>
        </w:rPr>
      </w:pPr>
    </w:p>
    <w:p>
      <w:pPr>
        <w:pStyle w:val="ManualHeading3"/>
        <w:rPr>
          <w:bCs/>
          <w:noProof/>
          <w:szCs w:val="24"/>
        </w:rPr>
      </w:pPr>
      <w:r>
        <w:rPr>
          <w:noProof/>
        </w:rPr>
        <w:t>3.2.5.</w:t>
      </w:r>
      <w:r>
        <w:rPr>
          <w:noProof/>
        </w:rPr>
        <w:tab/>
        <w:t xml:space="preserve">Third-party contributions </w:t>
      </w:r>
    </w:p>
    <w:p>
      <w:pPr>
        <w:pStyle w:val="ListDash1"/>
        <w:rPr>
          <w:noProof/>
        </w:rPr>
      </w:pPr>
      <w:r>
        <w:rPr>
          <w:noProof/>
        </w:rPr>
        <w:sym w:font="Wingdings" w:char="F0FE"/>
      </w:r>
      <w:r>
        <w:rPr>
          <w:noProof/>
        </w:rPr>
        <w:t xml:space="preserve"> The proposal/initiative does not provide for co-financing by third parties. </w:t>
      </w:r>
    </w:p>
    <w:p>
      <w:pPr>
        <w:rPr>
          <w:noProof/>
        </w:rPr>
      </w:pP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FE"/>
      </w:r>
      <w:r>
        <w:rPr>
          <w:noProof/>
        </w:rPr>
        <w:tab/>
        <w:t>The proposal/initiative has no financial impact on revenue.</w:t>
      </w:r>
    </w:p>
    <w:p>
      <w:pPr>
        <w:rPr>
          <w:noProof/>
        </w:rPr>
      </w:pPr>
    </w:p>
    <w:p>
      <w:pPr>
        <w:jc w:val="center"/>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L299, 28.11.2000, p.15.</w:t>
      </w:r>
    </w:p>
  </w:footnote>
  <w:footnote w:id="2">
    <w:p>
      <w:pPr>
        <w:pStyle w:val="FootnoteText"/>
      </w:pPr>
      <w:r>
        <w:rPr>
          <w:rStyle w:val="FootnoteReference"/>
        </w:rPr>
        <w:footnoteRef/>
      </w:r>
      <w:r>
        <w:tab/>
        <w:t>Council Decision 2003/798/EC (OJ L 229, 18.11.2003, p. 20).</w:t>
      </w:r>
    </w:p>
  </w:footnote>
  <w:footnote w:id="3">
    <w:p>
      <w:pPr>
        <w:pStyle w:val="FootnoteText"/>
      </w:pPr>
      <w:r>
        <w:rPr>
          <w:rStyle w:val="FootnoteReference"/>
        </w:rPr>
        <w:footnoteRef/>
      </w:r>
      <w:r>
        <w:tab/>
        <w:t>Council Decision 2009/313/EC (OJ L 92, 04.04.2009, p. 3).</w:t>
      </w:r>
    </w:p>
  </w:footnote>
  <w:footnote w:id="4">
    <w:p>
      <w:pPr>
        <w:pStyle w:val="FootnoteText"/>
      </w:pPr>
      <w:r>
        <w:rPr>
          <w:rStyle w:val="FootnoteReference"/>
        </w:rPr>
        <w:footnoteRef/>
      </w:r>
      <w:r>
        <w:tab/>
        <w:t>Council Decision 2014/50/EU (OJ L 32, 01.02.2014, p. 1).</w:t>
      </w:r>
    </w:p>
  </w:footnote>
  <w:footnote w:id="5">
    <w:p>
      <w:pPr>
        <w:pStyle w:val="FootnoteText"/>
      </w:pPr>
      <w:r>
        <w:rPr>
          <w:rStyle w:val="FootnoteReference"/>
        </w:rPr>
        <w:footnoteRef/>
      </w:r>
      <w:r>
        <w:tab/>
      </w:r>
      <w:r>
        <w:rPr>
          <w:i/>
          <w:iCs/>
        </w:rPr>
        <w:t>Enhancing and focusing EU international cooperation in research and innovation: a strategic approach</w:t>
      </w:r>
      <w:r>
        <w:t xml:space="preserve">, COM(2012) 497. </w:t>
      </w:r>
    </w:p>
  </w:footnote>
  <w:footnote w:id="6">
    <w:p>
      <w:pPr>
        <w:pStyle w:val="FootnoteText"/>
      </w:pPr>
      <w:r>
        <w:rPr>
          <w:rStyle w:val="FootnoteReference"/>
        </w:rPr>
        <w:footnoteRef/>
      </w:r>
      <w:r>
        <w:tab/>
        <w:t>Council Decision 2000/742/EC of 16 November 2000 concerning the conclusion of the Agreement on cooperation in science and technology between the European Community and the Government of the Russian Federation (OJ L 299, 28.11.2000, p. 14).</w:t>
      </w:r>
    </w:p>
  </w:footnote>
  <w:footnote w:id="7">
    <w:p>
      <w:pPr>
        <w:pStyle w:val="FootnoteText"/>
      </w:pPr>
      <w:r>
        <w:rPr>
          <w:rStyle w:val="FootnoteReference"/>
        </w:rPr>
        <w:footnoteRef/>
      </w:r>
      <w:r>
        <w:tab/>
        <w:t>Council Decision 2003/798/EC of 5 June 2003 concerning the conclusion of an Agreement aimed at renewing the Agreement on cooperation in science and technology between the European Community and the Government of the Russian Federation (OJ L 229, 18.11.2003, p. 20).</w:t>
      </w:r>
    </w:p>
  </w:footnote>
  <w:footnote w:id="8">
    <w:p>
      <w:pPr>
        <w:pStyle w:val="FootnoteText"/>
      </w:pPr>
      <w:r>
        <w:rPr>
          <w:rStyle w:val="FootnoteReference"/>
        </w:rPr>
        <w:footnoteRef/>
      </w:r>
      <w:r>
        <w:tab/>
        <w:t>Council Decision 2009/313/EC of 30 March 2009 concerning the renewal of the Agreement on cooperation in science and technology between the European Community and the Government of the Russian Federation (OJ L 92, 04.04.2009, p. 3).</w:t>
      </w:r>
    </w:p>
  </w:footnote>
  <w:footnote w:id="9">
    <w:p>
      <w:pPr>
        <w:pStyle w:val="FootnoteText"/>
      </w:pPr>
      <w:r>
        <w:rPr>
          <w:rStyle w:val="FootnoteReference"/>
        </w:rPr>
        <w:footnoteRef/>
      </w:r>
      <w:r>
        <w:tab/>
        <w:t>Council Decision 2014/50/EU of 20 January 2014 concerning the renewal of the Agreement on cooperation in science and technology between the European Community and the Government of the Russian Federation (OJ L 32, 01.02.2014, p. 1).</w:t>
      </w:r>
    </w:p>
  </w:footnote>
  <w:footnote w:id="10">
    <w:p>
      <w:pPr>
        <w:pStyle w:val="FootnoteText"/>
      </w:pPr>
      <w:r>
        <w:rPr>
          <w:rStyle w:val="FootnoteReference"/>
        </w:rPr>
        <w:footnoteRef/>
      </w:r>
      <w:r>
        <w:tab/>
        <w:t>www.sanctionsmap.eu. It is noted that the sanctions map is an IT tool that lists the restrictive measures regimes. The restrictive measures are established in legal acts published in the OJ. In case of divergences, the OJ prevails.</w:t>
      </w:r>
    </w:p>
  </w:footnote>
  <w:footnote w:id="11">
    <w:p>
      <w:pPr>
        <w:pStyle w:val="FootnoteText"/>
        <w:rPr>
          <w:szCs w:val="24"/>
        </w:rPr>
      </w:pPr>
      <w:r>
        <w:rPr>
          <w:rStyle w:val="FootnoteReference"/>
        </w:rPr>
        <w:footnoteRef/>
      </w:r>
      <w:r>
        <w:tab/>
        <w:t>ABM: activity-based management; ABB: activity-based budgeting.</w:t>
      </w:r>
    </w:p>
  </w:footnote>
  <w:footnote w:id="12">
    <w:p>
      <w:pPr>
        <w:pStyle w:val="FootnoteText"/>
        <w:rPr>
          <w:lang w:val="en-US"/>
        </w:rPr>
      </w:pPr>
      <w:r>
        <w:rPr>
          <w:rStyle w:val="FootnoteReference"/>
        </w:rPr>
        <w:footnoteRef/>
      </w:r>
      <w:r>
        <w:tab/>
        <w:t>Compared to Horizon 2020, DG CLIMA and DG MARE have been added, based on the Commssion Proposal for the next Multiannual Financial Framework (Horizon Europe), still to be adopted.</w:t>
      </w:r>
    </w:p>
  </w:footnote>
  <w:footnote w:id="13">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4">
    <w:p>
      <w:pPr>
        <w:pStyle w:val="FootnoteText"/>
        <w:ind w:left="709" w:hanging="709"/>
        <w:rPr>
          <w:lang w:val="en-US"/>
        </w:rPr>
      </w:pPr>
      <w:r>
        <w:rPr>
          <w:rStyle w:val="FootnoteReference"/>
        </w:rPr>
        <w:footnoteRef/>
      </w:r>
      <w:r>
        <w:tab/>
        <w:t>Appropriations for the period 2021-2024 (Multiannual Financial Framework 2021-2027) and related legal basis are still to be adopted by the European Parliament and Council and the DB 2019 is yet to be approved by the budget authority.</w:t>
      </w:r>
    </w:p>
  </w:footnote>
  <w:footnote w:id="15">
    <w:p>
      <w:pPr>
        <w:pStyle w:val="FootnoteText"/>
        <w:rPr>
          <w:szCs w:val="24"/>
        </w:rPr>
      </w:pPr>
      <w:r>
        <w:rPr>
          <w:rStyle w:val="FootnoteReference"/>
        </w:rPr>
        <w:footnoteRef/>
      </w:r>
      <w:r>
        <w:tab/>
        <w:t>Diff. = Differentiated appropriations / Non-diff. = Non-differentiated appropriations.</w:t>
      </w:r>
    </w:p>
  </w:footnote>
  <w:footnote w:id="16">
    <w:p>
      <w:pPr>
        <w:pStyle w:val="FootnoteText"/>
        <w:rPr>
          <w:szCs w:val="24"/>
        </w:rPr>
      </w:pPr>
      <w:r>
        <w:rPr>
          <w:rStyle w:val="FootnoteReference"/>
        </w:rPr>
        <w:footnoteRef/>
      </w:r>
      <w:r>
        <w:tab/>
        <w:t xml:space="preserve">EFTA: European Free Trade Association. </w:t>
      </w:r>
    </w:p>
  </w:footnote>
  <w:footnote w:id="17">
    <w:p>
      <w:pPr>
        <w:pStyle w:val="FootnoteText"/>
        <w:rPr>
          <w:szCs w:val="24"/>
        </w:rPr>
      </w:pPr>
      <w:r>
        <w:rPr>
          <w:rStyle w:val="FootnoteReference"/>
        </w:rPr>
        <w:footnoteRef/>
      </w:r>
      <w:r>
        <w:tab/>
        <w:t>Candidate countries and, where applicable, potential candidate countries from the Western Balkans.</w:t>
      </w:r>
    </w:p>
  </w:footnote>
  <w:footnote w:id="18">
    <w:p>
      <w:pPr>
        <w:pStyle w:val="FootnoteText"/>
        <w:rPr>
          <w:szCs w:val="24"/>
        </w:rPr>
      </w:pPr>
      <w:r>
        <w:rPr>
          <w:rStyle w:val="FootnoteReference"/>
        </w:rPr>
        <w:footnoteRef/>
      </w:r>
      <w:r>
        <w:tab/>
        <w:t>Year 2019 is the year in which implementation of the proposal/initiative starts. Amounts for 2019 and 2024 correspond to ten months and two months respectively.</w:t>
      </w:r>
    </w:p>
  </w:footnote>
  <w:footnote w:id="1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0">
    <w:p>
      <w:pPr>
        <w:pStyle w:val="FootnoteText"/>
        <w:rPr>
          <w:szCs w:val="24"/>
        </w:rPr>
      </w:pPr>
      <w:r>
        <w:rPr>
          <w:rStyle w:val="FootnoteReference"/>
        </w:rPr>
        <w:footnoteRef/>
      </w:r>
      <w:r>
        <w:tab/>
        <w:t>Year 2019 is the year in which implementation of the proposal/initiative starts. Amounts for 2019 and 2024 correspond to ten months and two months respectively.</w:t>
      </w:r>
    </w:p>
  </w:footnote>
  <w:footnote w:id="2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2">
    <w:p>
      <w:pPr>
        <w:pStyle w:val="FootnoteText"/>
        <w:rPr>
          <w:szCs w:val="24"/>
        </w:rPr>
      </w:pPr>
      <w:r>
        <w:rPr>
          <w:rStyle w:val="FootnoteReference"/>
        </w:rPr>
        <w:footnoteRef/>
      </w:r>
      <w:r>
        <w:tab/>
        <w:t xml:space="preserve">As described in point 1.4.2. ‘Specific objective(s)…’ </w:t>
      </w:r>
    </w:p>
  </w:footnote>
  <w:footnote w:id="23">
    <w:p>
      <w:pPr>
        <w:pStyle w:val="FootnoteText"/>
        <w:rPr>
          <w:szCs w:val="24"/>
        </w:rPr>
      </w:pPr>
      <w:r>
        <w:rPr>
          <w:rStyle w:val="FootnoteReference"/>
        </w:rPr>
        <w:footnoteRef/>
      </w:r>
      <w:r>
        <w:tab/>
        <w:t>Year 2019 is the year in which implementation of the proposal/initiative starts. Amounts for 2019 and 2024 correspond to ten months and two months respectively.</w:t>
      </w:r>
    </w:p>
  </w:footnote>
  <w:footnote w:id="2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5">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6">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B40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2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4C29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BC70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4A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2C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22"/>
  </w:num>
  <w:num w:numId="15">
    <w:abstractNumId w:val="10"/>
  </w:num>
  <w:num w:numId="16">
    <w:abstractNumId w:val="12"/>
  </w:num>
  <w:num w:numId="17">
    <w:abstractNumId w:val="8"/>
  </w:num>
  <w:num w:numId="18">
    <w:abstractNumId w:val="21"/>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1 10:24: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C15D72-2660-4216-BEDF-5F95F3425BCB"/>
    <w:docVar w:name="LW_COVERPAGE_TYPE" w:val="1"/>
    <w:docVar w:name="LW_CROSSREFERENCE" w:val="&lt;UNUSED&gt;"/>
    <w:docVar w:name="LW_DocType" w:val="COM"/>
    <w:docVar w:name="LW_EMISSION" w:val="18.1.2019"/>
    <w:docVar w:name="LW_EMISSION_ISODATE" w:val="2019-01-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5"/>
    <w:docVar w:name="LW_REF.II.NEW.CP_YEAR" w:val="2019"/>
    <w:docVar w:name="LW_REF.INST.NEW" w:val="COM"/>
    <w:docVar w:name="LW_REF.INST.NEW_ADOPTED" w:val="final"/>
    <w:docVar w:name="LW_REF.INST.NEW_TEXT" w:val="(2019)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renewal of the Agreement on cooperation in science and technology between the European Community and the Government of the Russian Federation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8DD1-4D28-4342-AEC8-06B8E0BD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21</Pages>
  <Words>4182</Words>
  <Characters>23547</Characters>
  <Application>Microsoft Office Word</Application>
  <DocSecurity>0</DocSecurity>
  <Lines>1308</Lines>
  <Paragraphs>644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2018-11-29T15:19:00Z</cp:lastPrinted>
  <dcterms:created xsi:type="dcterms:W3CDTF">2018-11-30T13:55:00Z</dcterms:created>
  <dcterms:modified xsi:type="dcterms:W3CDTF">2019-01-11T09:24:00Z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