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6E" w:rsidRDefault="0087433C" w:rsidP="0087433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4FD882A-BC22-4344-92EA-37BB26B516D2" style="width:450.75pt;height:564.75pt">
            <v:imagedata r:id="rId8" o:title=""/>
          </v:shape>
        </w:pict>
      </w:r>
    </w:p>
    <w:bookmarkEnd w:id="0"/>
    <w:p w:rsidR="00E77A6E" w:rsidRDefault="00E77A6E">
      <w:pPr>
        <w:rPr>
          <w:rFonts w:ascii="Times New Roman" w:hAnsi="Times New Roman" w:cs="Times New Roman"/>
          <w:noProof/>
        </w:rPr>
        <w:sectPr w:rsidR="00E77A6E" w:rsidSect="0087433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77A6E" w:rsidRDefault="0087433C">
      <w:pPr>
        <w:pStyle w:val="ListParagraph"/>
        <w:numPr>
          <w:ilvl w:val="0"/>
          <w:numId w:val="18"/>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w:t>
      </w:r>
      <w:r>
        <w:rPr>
          <w:rFonts w:ascii="Times New Roman" w:hAnsi="Times New Roman" w:cs="Times New Roman"/>
          <w:noProof/>
          <w:sz w:val="24"/>
          <w:szCs w:val="24"/>
        </w:rPr>
        <w:t xml:space="preserve">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w:t>
      </w:r>
      <w:r>
        <w:rPr>
          <w:rFonts w:ascii="Times New Roman" w:hAnsi="Times New Roman" w:cs="Times New Roman"/>
          <w:noProof/>
          <w:sz w:val="24"/>
          <w:szCs w:val="24"/>
        </w:rPr>
        <w:t>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t>The assessment underpinning the early warning report is based on a collaborative and transparent process involving the Member States concern</w:t>
      </w:r>
      <w:r>
        <w:rPr>
          <w:rFonts w:ascii="Times New Roman" w:hAnsi="Times New Roman" w:cs="Times New Roman"/>
          <w:noProof/>
          <w:sz w:val="24"/>
          <w:szCs w:val="24"/>
        </w:rPr>
        <w:t xml:space="preserve">ed and an in-depth analysis of their most recent policy developments. This also involved extensive consultation with the authorities in charge of waste management. </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w:t>
      </w:r>
      <w:r>
        <w:rPr>
          <w:rFonts w:ascii="Times New Roman" w:hAnsi="Times New Roman" w:cs="Times New Roman"/>
          <w:noProof/>
          <w:sz w:val="24"/>
          <w:szCs w:val="24"/>
        </w:rPr>
        <w:t>s and aim to help Member States in meeting the 2020 municipal waste preparation for re-use/recycling; they therefore focus on policy measures that can be taken forward in the short term. These actions should be seen as complementary to those recommended in</w:t>
      </w:r>
      <w:r>
        <w:rPr>
          <w:rFonts w:ascii="Times New Roman" w:hAnsi="Times New Roman" w:cs="Times New Roman"/>
          <w:noProof/>
          <w:sz w:val="24"/>
          <w:szCs w:val="24"/>
        </w:rPr>
        <w:t xml:space="preserve">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rsidR="00E77A6E" w:rsidRDefault="0087433C">
      <w:pPr>
        <w:pStyle w:val="ListParagraph"/>
        <w:numPr>
          <w:ilvl w:val="0"/>
          <w:numId w:val="18"/>
        </w:numPr>
        <w:jc w:val="both"/>
        <w:rPr>
          <w:rFonts w:ascii="Times New Roman" w:hAnsi="Times New Roman" w:cs="Times New Roman"/>
          <w:b/>
          <w:noProof/>
        </w:rPr>
      </w:pPr>
      <w:r>
        <w:rPr>
          <w:rFonts w:ascii="Times New Roman" w:hAnsi="Times New Roman" w:cs="Times New Roman"/>
          <w:b/>
          <w:noProof/>
        </w:rPr>
        <w:t>Key findings of the 'Early Warning report for Poland'</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t>In 2016, Poland’s municipal waste r</w:t>
      </w:r>
      <w:r>
        <w:rPr>
          <w:rFonts w:ascii="Times New Roman" w:hAnsi="Times New Roman" w:cs="Times New Roman"/>
          <w:noProof/>
          <w:sz w:val="24"/>
          <w:szCs w:val="24"/>
        </w:rPr>
        <w:t>ecycling rate (including composting) reported to Eurostat was 44 %, while the landfilling rate was 37 %. However, for compliance with the target Poland chose to report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recycling rate of four fractions of municipal waste — paper, plastic, metal and gla</w:t>
      </w:r>
      <w:r>
        <w:rPr>
          <w:rFonts w:ascii="Times New Roman" w:hAnsi="Times New Roman" w:cs="Times New Roman"/>
          <w:noProof/>
          <w:sz w:val="24"/>
          <w:szCs w:val="24"/>
        </w:rPr>
        <w:t>ss – which was 27 % in 2015. Based on an analysis of existing and firmly planned policies in the area of waste management, and on Poland’s performance to date, Poland is considered at risk of missing the 2020 target of 50 % preparation for re-use/recycling</w:t>
      </w:r>
      <w:r>
        <w:rPr>
          <w:rFonts w:ascii="Times New Roman" w:hAnsi="Times New Roman" w:cs="Times New Roman"/>
          <w:noProof/>
          <w:sz w:val="24"/>
          <w:szCs w:val="24"/>
        </w:rPr>
        <w:t xml:space="preserve"> for municipal waste.</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that underpins the early warning report concludes that </w:t>
      </w:r>
    </w:p>
    <w:p w:rsidR="00E77A6E" w:rsidRDefault="0087433C">
      <w:pPr>
        <w:pStyle w:val="ListParagraph"/>
        <w:numPr>
          <w:ilvl w:val="0"/>
          <w:numId w:val="25"/>
        </w:numPr>
        <w:jc w:val="both"/>
        <w:rPr>
          <w:rFonts w:ascii="Times New Roman" w:hAnsi="Times New Roman" w:cs="Times New Roman"/>
          <w:noProof/>
        </w:rPr>
      </w:pPr>
      <w:r>
        <w:rPr>
          <w:rFonts w:ascii="Times New Roman" w:hAnsi="Times New Roman" w:cs="Times New Roman"/>
          <w:noProof/>
        </w:rPr>
        <w:t>the separate collection of recyclables is not yet being carried out effectively;</w:t>
      </w:r>
    </w:p>
    <w:p w:rsidR="00E77A6E" w:rsidRDefault="0087433C">
      <w:pPr>
        <w:pStyle w:val="ListParagraph"/>
        <w:numPr>
          <w:ilvl w:val="0"/>
          <w:numId w:val="25"/>
        </w:numPr>
        <w:jc w:val="both"/>
        <w:rPr>
          <w:rFonts w:ascii="Times New Roman" w:hAnsi="Times New Roman" w:cs="Times New Roman"/>
          <w:noProof/>
        </w:rPr>
      </w:pPr>
      <w:r>
        <w:rPr>
          <w:rFonts w:ascii="Times New Roman" w:hAnsi="Times New Roman" w:cs="Times New Roman"/>
          <w:noProof/>
        </w:rPr>
        <w:t>economic incentives for households to separate waste are lacking;</w:t>
      </w:r>
    </w:p>
    <w:p w:rsidR="00E77A6E" w:rsidRDefault="0087433C">
      <w:pPr>
        <w:pStyle w:val="ListParagraph"/>
        <w:numPr>
          <w:ilvl w:val="0"/>
          <w:numId w:val="25"/>
        </w:numPr>
        <w:jc w:val="both"/>
        <w:rPr>
          <w:rFonts w:ascii="Times New Roman" w:hAnsi="Times New Roman" w:cs="Times New Roman"/>
          <w:noProof/>
        </w:rPr>
      </w:pPr>
      <w:r>
        <w:rPr>
          <w:rFonts w:ascii="Times New Roman" w:hAnsi="Times New Roman" w:cs="Times New Roman"/>
          <w:noProof/>
        </w:rPr>
        <w:t xml:space="preserve">the extended </w:t>
      </w:r>
      <w:r>
        <w:rPr>
          <w:rFonts w:ascii="Times New Roman" w:hAnsi="Times New Roman" w:cs="Times New Roman"/>
          <w:noProof/>
        </w:rPr>
        <w:t>producer responsibility (EPR) schemes in Poland do not operate efficiently; and</w:t>
      </w:r>
    </w:p>
    <w:p w:rsidR="00E77A6E" w:rsidRDefault="0087433C">
      <w:pPr>
        <w:pStyle w:val="ListParagraph"/>
        <w:numPr>
          <w:ilvl w:val="0"/>
          <w:numId w:val="25"/>
        </w:numPr>
        <w:jc w:val="both"/>
        <w:rPr>
          <w:rFonts w:ascii="Times New Roman" w:hAnsi="Times New Roman" w:cs="Times New Roman"/>
          <w:noProof/>
        </w:rPr>
      </w:pPr>
      <w:r>
        <w:rPr>
          <w:rFonts w:ascii="Times New Roman" w:hAnsi="Times New Roman" w:cs="Times New Roman"/>
          <w:noProof/>
        </w:rPr>
        <w:t>some reservations on the quality of waste data undermine the reliability of the high recycling rates reported to Eurostat.</w:t>
      </w:r>
    </w:p>
    <w:p w:rsidR="00E77A6E" w:rsidRDefault="0087433C">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table below lists possible actions to support Pol</w:t>
      </w:r>
      <w:r>
        <w:rPr>
          <w:rFonts w:ascii="Times New Roman" w:hAnsi="Times New Roman" w:cs="Times New Roman"/>
          <w:noProof/>
          <w:sz w:val="24"/>
          <w:szCs w:val="24"/>
        </w:rPr>
        <w:t>and's efforts to improve its performance in waste management.</w:t>
      </w:r>
    </w:p>
    <w:tbl>
      <w:tblPr>
        <w:tblStyle w:val="Eunomia-NoTotals"/>
        <w:tblW w:w="0" w:type="auto"/>
        <w:tblLook w:val="05E0" w:firstRow="1" w:lastRow="1" w:firstColumn="1" w:lastColumn="1" w:noHBand="0" w:noVBand="1"/>
      </w:tblPr>
      <w:tblGrid>
        <w:gridCol w:w="9072"/>
      </w:tblGrid>
      <w:tr w:rsidR="00E77A6E" w:rsidTr="00E7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rsidR="00E77A6E" w:rsidRDefault="0087433C">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rsidR="00E77A6E" w:rsidTr="00E77A6E">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rsidR="00E77A6E" w:rsidRDefault="0087433C">
            <w:pPr>
              <w:pStyle w:val="StyleNumbering"/>
              <w:keepNext/>
              <w:numPr>
                <w:ilvl w:val="0"/>
                <w:numId w:val="0"/>
              </w:numPr>
              <w:ind w:left="720" w:hanging="360"/>
              <w:jc w:val="both"/>
              <w:rPr>
                <w:rFonts w:ascii="Times New Roman" w:hAnsi="Times New Roman" w:cs="Times New Roman"/>
                <w:noProof/>
              </w:rPr>
            </w:pPr>
            <w:r>
              <w:rPr>
                <w:rFonts w:ascii="Times New Roman" w:hAnsi="Times New Roman" w:cs="Times New Roman"/>
                <w:bCs/>
                <w:noProof/>
                <w:lang w:eastAsia="en-US"/>
              </w:rPr>
              <w:t>Extended Producer Responsibility for packaging waste</w:t>
            </w:r>
          </w:p>
        </w:tc>
      </w:tr>
      <w:tr w:rsidR="00E77A6E" w:rsidTr="00E77A6E">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rsidR="00E77A6E" w:rsidRDefault="0087433C">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Improvements to the EPR system for packaging and alignment with the general minimum req</w:t>
            </w:r>
            <w:r>
              <w:rPr>
                <w:rFonts w:ascii="Times New Roman" w:hAnsi="Times New Roman" w:cs="Times New Roman"/>
                <w:b w:val="0"/>
                <w:noProof/>
                <w:lang w:eastAsia="en-US"/>
              </w:rPr>
              <w:t>uirements in the revised Waste Framework Directive, while ensuring, specifically that producers provide better cost coverage, including the cost of dealing with unrecycled packaging disposed of by households as residual waste.</w:t>
            </w:r>
          </w:p>
          <w:p w:rsidR="00E77A6E" w:rsidRDefault="0087433C">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Improvements to the quality o</w:t>
            </w:r>
            <w:r>
              <w:rPr>
                <w:rFonts w:ascii="Times New Roman" w:hAnsi="Times New Roman" w:cs="Times New Roman"/>
                <w:b w:val="0"/>
                <w:noProof/>
                <w:lang w:eastAsia="en-US"/>
              </w:rPr>
              <w:t>f data reported on packaging placed on the market.</w:t>
            </w:r>
          </w:p>
        </w:tc>
      </w:tr>
      <w:tr w:rsidR="00E77A6E" w:rsidTr="00E77A6E">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rsidR="00E77A6E" w:rsidRDefault="0087433C">
            <w:pPr>
              <w:pStyle w:val="StyleNumbering"/>
              <w:numPr>
                <w:ilvl w:val="0"/>
                <w:numId w:val="0"/>
              </w:numPr>
              <w:ind w:left="360"/>
              <w:jc w:val="both"/>
              <w:rPr>
                <w:rFonts w:ascii="Times New Roman" w:hAnsi="Times New Roman" w:cs="Times New Roman"/>
                <w:b w:val="0"/>
                <w:bCs/>
                <w:noProof/>
              </w:rPr>
            </w:pPr>
            <w:r>
              <w:rPr>
                <w:rFonts w:ascii="Times New Roman" w:hAnsi="Times New Roman" w:cs="Times New Roman"/>
                <w:bCs/>
                <w:noProof/>
                <w:lang w:eastAsia="en-US"/>
              </w:rPr>
              <w:t>Financial incentives for regional enforcement of municipal targets</w:t>
            </w:r>
          </w:p>
        </w:tc>
      </w:tr>
      <w:tr w:rsidR="00E77A6E" w:rsidTr="00E77A6E">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rsidR="00E77A6E" w:rsidRDefault="0087433C">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 xml:space="preserve">As the annual recycling target for municipalities increases to 50 % in 2020, the number of municipalities failing to meet it is likely </w:t>
            </w:r>
            <w:r>
              <w:rPr>
                <w:rFonts w:ascii="Times New Roman" w:hAnsi="Times New Roman" w:cs="Times New Roman"/>
                <w:b w:val="0"/>
                <w:noProof/>
                <w:lang w:eastAsia="en-US"/>
              </w:rPr>
              <w:t>to increase. Guidance from the Ministry of Environment on the consistent application of fines for failing to meet the target would be beneficial to ensure they act as the required deterrent.</w:t>
            </w:r>
          </w:p>
        </w:tc>
      </w:tr>
      <w:tr w:rsidR="00E77A6E" w:rsidTr="00E77A6E">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rsidR="00E77A6E" w:rsidRDefault="0087433C">
            <w:pPr>
              <w:pStyle w:val="StyleNumbering"/>
              <w:numPr>
                <w:ilvl w:val="0"/>
                <w:numId w:val="0"/>
              </w:numPr>
              <w:ind w:left="360"/>
              <w:jc w:val="both"/>
              <w:rPr>
                <w:rFonts w:ascii="Times New Roman" w:hAnsi="Times New Roman" w:cs="Times New Roman"/>
                <w:noProof/>
                <w:lang w:eastAsia="en-US"/>
              </w:rPr>
            </w:pPr>
            <w:r>
              <w:rPr>
                <w:rFonts w:ascii="Times New Roman" w:hAnsi="Times New Roman" w:cs="Times New Roman"/>
                <w:bCs/>
                <w:noProof/>
                <w:lang w:eastAsia="en-US"/>
              </w:rPr>
              <w:t>Technical support to municipalities</w:t>
            </w:r>
          </w:p>
        </w:tc>
      </w:tr>
      <w:tr w:rsidR="00E77A6E" w:rsidTr="00E77A6E">
        <w:trPr>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rsidR="00E77A6E" w:rsidRDefault="0087433C">
            <w:pPr>
              <w:pStyle w:val="StyleNumbering"/>
              <w:numPr>
                <w:ilvl w:val="0"/>
                <w:numId w:val="20"/>
              </w:numPr>
              <w:jc w:val="both"/>
              <w:rPr>
                <w:rFonts w:ascii="Times New Roman" w:hAnsi="Times New Roman" w:cs="Times New Roman"/>
                <w:b w:val="0"/>
                <w:noProof/>
                <w:lang w:eastAsia="en-US"/>
              </w:rPr>
            </w:pPr>
            <w:r>
              <w:rPr>
                <w:rFonts w:ascii="Times New Roman" w:hAnsi="Times New Roman" w:cs="Times New Roman"/>
                <w:b w:val="0"/>
                <w:noProof/>
                <w:lang w:eastAsia="en-US"/>
              </w:rPr>
              <w:t xml:space="preserve">Development of a system at </w:t>
            </w:r>
            <w:r>
              <w:rPr>
                <w:rFonts w:ascii="Times New Roman" w:hAnsi="Times New Roman" w:cs="Times New Roman"/>
                <w:b w:val="0"/>
                <w:noProof/>
                <w:lang w:eastAsia="en-US"/>
              </w:rPr>
              <w:t>national level that provides technical support for municipalities, specifically in the following areas:</w:t>
            </w:r>
          </w:p>
          <w:p w:rsidR="00E77A6E" w:rsidRDefault="0087433C">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rsidR="00E77A6E" w:rsidRDefault="0087433C">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rsidR="00E77A6E" w:rsidRDefault="0087433C">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rsidR="00E77A6E" w:rsidRDefault="0087433C">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rsidR="00E77A6E" w:rsidRDefault="00E77A6E">
            <w:pPr>
              <w:pStyle w:val="ListBullet"/>
              <w:numPr>
                <w:ilvl w:val="0"/>
                <w:numId w:val="0"/>
              </w:numPr>
              <w:ind w:left="720"/>
              <w:jc w:val="both"/>
              <w:rPr>
                <w:rFonts w:ascii="Times New Roman" w:hAnsi="Times New Roman"/>
                <w:b w:val="0"/>
                <w:noProof/>
              </w:rPr>
            </w:pPr>
          </w:p>
          <w:p w:rsidR="00E77A6E" w:rsidRDefault="0087433C">
            <w:pPr>
              <w:pStyle w:val="ListBullet"/>
              <w:numPr>
                <w:ilvl w:val="0"/>
                <w:numId w:val="0"/>
              </w:numPr>
              <w:ind w:left="720"/>
              <w:jc w:val="both"/>
              <w:rPr>
                <w:rFonts w:ascii="Times New Roman" w:hAnsi="Times New Roman" w:cs="Times New Roman"/>
                <w:b w:val="0"/>
                <w:noProof/>
                <w:lang w:eastAsia="en-US"/>
              </w:rPr>
            </w:pPr>
            <w:r>
              <w:rPr>
                <w:rFonts w:ascii="Times New Roman" w:hAnsi="Times New Roman"/>
                <w:b w:val="0"/>
                <w:noProof/>
              </w:rPr>
              <w:t xml:space="preserve">coupled with active sharing of good ideas and </w:t>
            </w:r>
            <w:r>
              <w:rPr>
                <w:rFonts w:ascii="Times New Roman" w:hAnsi="Times New Roman"/>
                <w:b w:val="0"/>
                <w:noProof/>
              </w:rPr>
              <w:t>practices that can improve efficiency in terms of cost reduction and improvement in performance.</w:t>
            </w:r>
          </w:p>
        </w:tc>
      </w:tr>
      <w:tr w:rsidR="00E77A6E" w:rsidTr="00E77A6E">
        <w:trPr>
          <w:cnfStyle w:val="010000000000" w:firstRow="0" w:lastRow="1"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rsidR="00E77A6E" w:rsidRDefault="0087433C">
            <w:pPr>
              <w:pStyle w:val="StyleNumbering"/>
              <w:numPr>
                <w:ilvl w:val="0"/>
                <w:numId w:val="20"/>
              </w:numPr>
              <w:jc w:val="both"/>
              <w:rPr>
                <w:rFonts w:ascii="Times New Roman" w:hAnsi="Times New Roman" w:cs="Times New Roman"/>
                <w:noProof/>
                <w:lang w:eastAsia="en-US"/>
              </w:rPr>
            </w:pPr>
            <w:r>
              <w:rPr>
                <w:rFonts w:ascii="Times New Roman" w:hAnsi="Times New Roman" w:cs="Times New Roman"/>
                <w:b w:val="0"/>
                <w:noProof/>
                <w:lang w:eastAsia="en-US"/>
              </w:rPr>
              <w:t>Research into best practices and monitoring (e.g. through a survey) of municipalities’ implementation of the sorting obligation, getting their feedback on cha</w:t>
            </w:r>
            <w:r>
              <w:rPr>
                <w:rFonts w:ascii="Times New Roman" w:hAnsi="Times New Roman" w:cs="Times New Roman"/>
                <w:b w:val="0"/>
                <w:noProof/>
                <w:lang w:eastAsia="en-US"/>
              </w:rPr>
              <w:t>llenges and barriers and developing tools to support them.</w:t>
            </w:r>
          </w:p>
        </w:tc>
      </w:tr>
    </w:tbl>
    <w:p w:rsidR="00E77A6E" w:rsidRDefault="00E77A6E">
      <w:pPr>
        <w:jc w:val="both"/>
        <w:rPr>
          <w:rFonts w:ascii="Times New Roman" w:hAnsi="Times New Roman" w:cs="Times New Roman"/>
          <w:noProof/>
          <w:sz w:val="24"/>
          <w:szCs w:val="24"/>
        </w:rPr>
      </w:pPr>
    </w:p>
    <w:sectPr w:rsidR="00E77A6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A6E" w:rsidRDefault="0087433C">
      <w:pPr>
        <w:spacing w:after="0" w:line="240" w:lineRule="auto"/>
      </w:pPr>
      <w:r>
        <w:separator/>
      </w:r>
    </w:p>
  </w:endnote>
  <w:endnote w:type="continuationSeparator" w:id="0">
    <w:p w:rsidR="00E77A6E" w:rsidRDefault="0087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FooterCoverPage"/>
      <w:rPr>
        <w:rFonts w:ascii="Arial" w:hAnsi="Arial" w:cs="Arial"/>
        <w:b/>
        <w:sz w:val="48"/>
      </w:rPr>
    </w:pPr>
    <w:r w:rsidRPr="0087433C">
      <w:rPr>
        <w:rFonts w:ascii="Arial" w:hAnsi="Arial" w:cs="Arial"/>
        <w:b/>
        <w:sz w:val="48"/>
      </w:rPr>
      <w:t>EN</w:t>
    </w:r>
    <w:r w:rsidRPr="0087433C">
      <w:rPr>
        <w:rFonts w:ascii="Arial" w:hAnsi="Arial" w:cs="Arial"/>
        <w:b/>
        <w:sz w:val="48"/>
      </w:rPr>
      <w:tab/>
    </w:r>
    <w:r w:rsidRPr="0087433C">
      <w:rPr>
        <w:rFonts w:ascii="Arial" w:hAnsi="Arial" w:cs="Arial"/>
        <w:b/>
        <w:sz w:val="48"/>
      </w:rPr>
      <w:tab/>
    </w:r>
    <w:r w:rsidRPr="0087433C">
      <w:tab/>
    </w:r>
    <w:r w:rsidRPr="0087433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6E" w:rsidRDefault="00E77A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988626"/>
      <w:docPartObj>
        <w:docPartGallery w:val="Page Numbers (Bottom of Page)"/>
        <w:docPartUnique/>
      </w:docPartObj>
    </w:sdtPr>
    <w:sdtEndPr>
      <w:rPr>
        <w:noProof/>
      </w:rPr>
    </w:sdtEndPr>
    <w:sdtContent>
      <w:p w:rsidR="00E77A6E" w:rsidRDefault="008743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77A6E" w:rsidRDefault="00E77A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6E" w:rsidRDefault="00E7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A6E" w:rsidRDefault="0087433C">
      <w:pPr>
        <w:spacing w:after="0" w:line="240" w:lineRule="auto"/>
      </w:pPr>
      <w:r>
        <w:separator/>
      </w:r>
    </w:p>
  </w:footnote>
  <w:footnote w:type="continuationSeparator" w:id="0">
    <w:p w:rsidR="00E77A6E" w:rsidRDefault="0087433C">
      <w:pPr>
        <w:spacing w:after="0" w:line="240" w:lineRule="auto"/>
      </w:pPr>
      <w:r>
        <w:continuationSeparator/>
      </w:r>
    </w:p>
  </w:footnote>
  <w:footnote w:id="1">
    <w:p w:rsidR="00E77A6E" w:rsidRDefault="0087433C">
      <w:pPr>
        <w:pStyle w:val="FootnoteText"/>
      </w:pPr>
      <w:r>
        <w:rPr>
          <w:rStyle w:val="FootnoteReference"/>
        </w:rPr>
        <w:footnoteRef/>
      </w:r>
      <w:r>
        <w:t xml:space="preserve"> http://ec.europa.eu/environment/waste/framework/support_implementation_1st_phase.htm</w:t>
      </w:r>
    </w:p>
  </w:footnote>
  <w:footnote w:id="2">
    <w:p w:rsidR="00E77A6E" w:rsidRDefault="0087433C">
      <w:pPr>
        <w:pStyle w:val="FootnoteText"/>
      </w:pPr>
      <w:r>
        <w:rPr>
          <w:rStyle w:val="FootnoteReference"/>
        </w:rPr>
        <w:footnoteRef/>
      </w:r>
      <w:r>
        <w:t xml:space="preserve"> Roadmap for Poland: http://ec.europa.eu/environment/waste/framework/pdf/PL_Roadmap_FINAL.pdf</w:t>
      </w:r>
    </w:p>
  </w:footnote>
  <w:footnote w:id="3">
    <w:p w:rsidR="00E77A6E" w:rsidRDefault="0087433C">
      <w:pPr>
        <w:pStyle w:val="FootnoteText"/>
      </w:pPr>
      <w:r>
        <w:rPr>
          <w:rStyle w:val="FootnoteReference"/>
        </w:rPr>
        <w:footnoteRef/>
      </w:r>
      <w:r>
        <w:t xml:space="preserve"> http://ec.europa.eu/environment/eir/country-reports/index2_en.htm</w:t>
      </w:r>
    </w:p>
  </w:footnote>
  <w:footnote w:id="4">
    <w:p w:rsidR="00E77A6E" w:rsidRDefault="0087433C">
      <w:pPr>
        <w:pStyle w:val="FootnoteText"/>
      </w:pPr>
      <w:r>
        <w:rPr>
          <w:rStyle w:val="FootnoteReference"/>
        </w:rPr>
        <w:footnoteRef/>
      </w:r>
      <w:r>
        <w:t xml:space="preserve"> In line with Commission Decision 2011/753/EU, Member States may choose a different method th</w:t>
      </w:r>
      <w:r>
        <w:t>an the one used by Eurostat to calculate their recycling rates and track compliance with the 2020 target of 50 % recycling of municipal waste.</w:t>
      </w:r>
    </w:p>
  </w:footnote>
  <w:footnote w:id="5">
    <w:p w:rsidR="00E77A6E" w:rsidRDefault="0087433C">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Poland.’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3C" w:rsidRPr="0087433C" w:rsidRDefault="0087433C" w:rsidP="0087433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6E" w:rsidRDefault="00E77A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6E" w:rsidRDefault="00E77A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6E" w:rsidRDefault="00E77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410"/>
    <w:multiLevelType w:val="hybridMultilevel"/>
    <w:tmpl w:val="92E04318"/>
    <w:lvl w:ilvl="0" w:tplc="08090017">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26829"/>
    <w:multiLevelType w:val="hybridMultilevel"/>
    <w:tmpl w:val="639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411DB"/>
    <w:multiLevelType w:val="hybridMultilevel"/>
    <w:tmpl w:val="924E3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42404C3A"/>
    <w:multiLevelType w:val="hybridMultilevel"/>
    <w:tmpl w:val="1654E594"/>
    <w:lvl w:ilvl="0" w:tplc="12522B2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50742"/>
    <w:multiLevelType w:val="multilevel"/>
    <w:tmpl w:val="C2CEF784"/>
    <w:numStyleLink w:val="AlphaNumericliststyle"/>
  </w:abstractNum>
  <w:abstractNum w:abstractNumId="10" w15:restartNumberingAfterBreak="0">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EF30B7"/>
    <w:multiLevelType w:val="hybridMultilevel"/>
    <w:tmpl w:val="924E3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9"/>
  </w:num>
  <w:num w:numId="5">
    <w:abstractNumId w:val="10"/>
  </w:num>
  <w:num w:numId="6">
    <w:abstractNumId w:val="1"/>
  </w:num>
  <w:num w:numId="7">
    <w:abstractNumId w:val="4"/>
  </w:num>
  <w:num w:numId="8">
    <w:abstractNumId w:val="2"/>
    <w:lvlOverride w:ilvl="0">
      <w:startOverride w:val="1"/>
    </w:lvlOverride>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6"/>
  </w:num>
  <w:num w:numId="20">
    <w:abstractNumId w:val="8"/>
  </w:num>
  <w:num w:numId="21">
    <w:abstractNumId w:val="2"/>
  </w:num>
  <w:num w:numId="22">
    <w:abstractNumId w:val="2"/>
  </w:num>
  <w:num w:numId="23">
    <w:abstractNumId w:val="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This document corrects document SWD(2018) 426 final of 24.09.2018_x000b__x000b_Corrections to the list of possible actions._x000b__x000b_The text shall read as follows:"/>
    <w:docVar w:name="LW_COVERPAGE_EXISTS" w:val="True"/>
    <w:docVar w:name="LW_COVERPAGE_GUID" w:val="44FD882A-BC22-4344-92EA-37BB26B516D2"/>
    <w:docVar w:name="LW_COVERPAGE_TYPE" w:val="1"/>
    <w:docVar w:name="LW_CROSSREFERENCE" w:val="{COM(2018) 656 final} - {SWD(2018) 413 final} - {SWD(2018) 414 final} - {SWD(2018) 415 final} - {SWD(2018) 416 final} - {SWD(2018) 417 final} - {SWD(2018) 418 final} - {SWD(2018) 419 final} - {SWD(2018) 420 final} - {SWD(2018) 421 final} - {SWD(2018) 422 final} - {SWD(2018) 423 final} - {SWD(2018) 424 final} - {SWD(2018) 425 final}"/>
    <w:docVar w:name="LW_DocType" w:val="NORMAL"/>
    <w:docVar w:name="LW_EMISSION" w:val="17.1.2019"/>
    <w:docVar w:name="LW_EMISSION_ISODATE" w:val="2019-01-17"/>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compliance with Article 11(2)a of Directive 2008/98/EC"/>
    <w:docVar w:name="LW_PART_NBR" w:val="1"/>
    <w:docVar w:name="LW_PART_NBR_TOTAL" w:val="1"/>
    <w:docVar w:name="LW_REF.INST.NEW" w:val="SWD"/>
    <w:docVar w:name="LW_REF.INST.NEW_ADOPTED" w:val="final/ 2"/>
    <w:docVar w:name="LW_REF.INST.NEW_TEXT" w:val="(2018)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Poland"/>
    <w:docVar w:name="LW_TYPE.DOC.CP" w:val="COMMISSION STAFF WORKING DOCUMENT"/>
    <w:docVar w:name="LW_TYPEACTEPRINCIPAL.CP" w:val="REPORT FROM THE COMMISSION TO THE EUROPEAN PARLIAMENT, THE COUNCIL, THE EUROPEAN ECONOMIC AND SOCIAL COMMITTEE AND THE COMMITTEE OF THE REGIONS"/>
  </w:docVars>
  <w:rsids>
    <w:rsidRoot w:val="00E77A6E"/>
    <w:rsid w:val="0087433C"/>
    <w:rsid w:val="00E77A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DF25F7-0CA0-4EB7-8407-B7324C9A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08BF-DABC-4238-B37C-6B86E2F4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3431</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17</cp:revision>
  <dcterms:created xsi:type="dcterms:W3CDTF">2019-01-14T11:10:00Z</dcterms:created>
  <dcterms:modified xsi:type="dcterms:W3CDTF">2019-01-17T13:04:00Z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