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0C68BF0-602B-47BA-AF18-8937AA12E194" style="width:450.4pt;height:406.9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Приложение </w:t>
      </w:r>
    </w:p>
    <w:p>
      <w:pPr>
        <w:jc w:val="center"/>
        <w:rPr>
          <w:rFonts w:ascii="Times New Roman" w:eastAsia="Times New Roman" w:hAnsi="Times New Roman" w:cs="Times New Roman"/>
          <w:b/>
          <w:noProof/>
          <w:sz w:val="24"/>
          <w:szCs w:val="24"/>
        </w:rPr>
      </w:pPr>
      <w:r>
        <w:rPr>
          <w:rFonts w:ascii="Times New Roman" w:hAnsi="Times New Roman"/>
          <w:b/>
          <w:noProof/>
          <w:sz w:val="24"/>
        </w:rPr>
        <w:t xml:space="preserve">Контекст на Доклада съгласно член 16, параграф 1 от </w:t>
      </w:r>
    </w:p>
    <w:p>
      <w:pPr>
        <w:jc w:val="center"/>
        <w:rPr>
          <w:rFonts w:ascii="Times New Roman" w:eastAsia="Times New Roman" w:hAnsi="Times New Roman" w:cs="Times New Roman"/>
          <w:b/>
          <w:noProof/>
          <w:sz w:val="24"/>
          <w:szCs w:val="24"/>
        </w:rPr>
      </w:pPr>
      <w:r>
        <w:rPr>
          <w:rFonts w:ascii="Times New Roman" w:hAnsi="Times New Roman"/>
          <w:b/>
          <w:noProof/>
          <w:sz w:val="24"/>
        </w:rPr>
        <w:t>Регламент (ЕС) № 511/2014</w:t>
      </w:r>
    </w:p>
    <w:p>
      <w:pPr>
        <w:spacing w:after="150"/>
        <w:jc w:val="both"/>
        <w:outlineLvl w:val="0"/>
        <w:rPr>
          <w:rFonts w:ascii="Times New Roman" w:hAnsi="Times New Roman" w:cs="Times New Roman"/>
          <w:i/>
          <w:noProof/>
          <w:sz w:val="24"/>
          <w:szCs w:val="24"/>
          <w:u w:color="12282C"/>
        </w:rPr>
      </w:pPr>
      <w:r>
        <w:rPr>
          <w:rFonts w:ascii="Times New Roman" w:hAnsi="Times New Roman"/>
          <w:i/>
          <w:noProof/>
          <w:sz w:val="24"/>
          <w:u w:color="12282C"/>
        </w:rPr>
        <w:t>Международни задължения, произтичащи от Протокола от Нагоя</w:t>
      </w:r>
    </w:p>
    <w:p>
      <w:pPr>
        <w:spacing w:after="150"/>
        <w:jc w:val="both"/>
        <w:rPr>
          <w:rFonts w:ascii="Times New Roman" w:hAnsi="Times New Roman" w:cs="Times New Roman"/>
          <w:noProof/>
          <w:sz w:val="24"/>
          <w:szCs w:val="24"/>
          <w:u w:color="12282C"/>
        </w:rPr>
      </w:pPr>
      <w:r>
        <w:rPr>
          <w:rFonts w:ascii="Times New Roman" w:hAnsi="Times New Roman"/>
          <w:noProof/>
          <w:sz w:val="24"/>
          <w:u w:color="12282C"/>
        </w:rPr>
        <w:t>Протоколът от Нагоя е международно споразумение, прието през октомври 2010 г.</w:t>
      </w:r>
      <w:r>
        <w:rPr>
          <w:rFonts w:ascii="Times New Roman" w:hAnsi="Times New Roman"/>
          <w:noProof/>
          <w:sz w:val="24"/>
          <w:u w:color="12282C"/>
          <w:vertAlign w:val="superscript"/>
        </w:rPr>
        <w:footnoteReference w:id="1"/>
      </w:r>
      <w:r>
        <w:rPr>
          <w:rFonts w:ascii="Times New Roman" w:hAnsi="Times New Roman"/>
          <w:noProof/>
          <w:sz w:val="24"/>
          <w:u w:color="12282C"/>
        </w:rPr>
        <w:t xml:space="preserve"> за постигането на третата цел на Конвенцията за биологичното разнообразие</w:t>
      </w:r>
      <w:r>
        <w:rPr>
          <w:rFonts w:ascii="Times New Roman" w:hAnsi="Times New Roman"/>
          <w:noProof/>
          <w:sz w:val="24"/>
          <w:u w:color="12282C"/>
          <w:vertAlign w:val="superscript"/>
        </w:rPr>
        <w:footnoteReference w:id="2"/>
      </w:r>
      <w:r>
        <w:rPr>
          <w:rFonts w:ascii="Times New Roman" w:hAnsi="Times New Roman"/>
          <w:noProof/>
          <w:sz w:val="24"/>
          <w:u w:color="12282C"/>
        </w:rPr>
        <w:t xml:space="preserve"> (КБР), по-специално справедливата и равноправна подялба на ползите, произтичащи от използването на генетични ресурси. Очаква се ползите да бъдат насочени към първата и втората цел на КБР, а именно опазване на биологичното разнообразие и устойчиво използване на неговите компоненти, като по този начин да допринесат за тях. </w:t>
      </w:r>
    </w:p>
    <w:p>
      <w:pPr>
        <w:spacing w:after="150"/>
        <w:jc w:val="both"/>
        <w:rPr>
          <w:rFonts w:ascii="Times New Roman" w:hAnsi="Times New Roman"/>
          <w:noProof/>
          <w:sz w:val="24"/>
          <w:szCs w:val="24"/>
        </w:rPr>
      </w:pPr>
      <w:r>
        <w:rPr>
          <w:rFonts w:ascii="Times New Roman" w:hAnsi="Times New Roman"/>
          <w:noProof/>
          <w:sz w:val="24"/>
          <w:u w:color="12282C"/>
        </w:rPr>
        <w:t xml:space="preserve">С Протокола се установява обща рамка от принципи и мерки за достъп до генетични ресурси и подялба на ползите, произтичащи от тяхното използване (обикновено наричани ДПП). </w:t>
      </w:r>
      <w:r>
        <w:rPr>
          <w:rFonts w:ascii="Times New Roman" w:hAnsi="Times New Roman"/>
          <w:noProof/>
          <w:sz w:val="24"/>
        </w:rPr>
        <w:t>Протоколът от Нагоя обхваща три вида мерки: за достъп, за подялба на ползите и за съответствие. Всички страни по Протокола могат да въвеждат мерки за достъп при упражняване на своите суверенни права върху генетичните ресурси, като отчитат изискванията на Протокола по отношение на такива мерки (яснота, прозрачност, справедливи и обективни процедури за достъп и пр.). С мерките за достъп следва да се определят условия за получаване на предварително информирано съгласие (ПИС) от държава доставчик и за постигане на взаимно договорени условия (ВДУ) за подялба на ползите между доставчика и ползвателя на генетични ресурси. Вторият вид мерки, а именно мерките за подялба на ползите, е обхванат от договорни споразумения (взаимно договорени условия) и попада в обхвата на договорното право. Третият вид мерки се отнася до въвеждането на мерки за съответствие, което е задължение съгласно Протокола. Всяка страна следва да приеме подходящи, ефективни и пропорционални законодателни, административни или политически мерки, за да гарантира, че достъпът до използваните в нейната юрисдикция генетични ресурси е осъществен в съответствие с ПИС и че са постигнати ВДУ, както е предвидено във вътрешното законодателство на държавата доставчик относно ДПП. С цел подпомагане на съответствието страните следва да предприемат подходящи мерки за наблюдение на използването на генетични ресурси. В този контекст от страните се изисква да определят контролни пунктове за събиране на съответната информация, свързана с ПИС и с ВДУ. Тази информация се предава на механизма ДПП (МДПП)</w:t>
      </w:r>
      <w:r>
        <w:rPr>
          <w:rFonts w:ascii="Times New Roman" w:hAnsi="Times New Roman"/>
          <w:noProof/>
          <w:sz w:val="24"/>
          <w:vertAlign w:val="superscript"/>
        </w:rPr>
        <w:footnoteReference w:id="3"/>
      </w:r>
      <w:r>
        <w:rPr>
          <w:rFonts w:ascii="Times New Roman" w:hAnsi="Times New Roman"/>
          <w:noProof/>
          <w:sz w:val="24"/>
        </w:rPr>
        <w:t xml:space="preserve"> и на държавата доставчик. МДПП е електронна </w:t>
      </w:r>
      <w:r>
        <w:rPr>
          <w:rFonts w:ascii="Times New Roman" w:hAnsi="Times New Roman"/>
          <w:noProof/>
          <w:sz w:val="24"/>
        </w:rPr>
        <w:lastRenderedPageBreak/>
        <w:t>платформа, в която страните представят всички съответни законодателни, административни и политически мерки, като закони за достъп, разрешителни, издадени от държавата (прехвърлени в международно признат сертификат за съответствие), информация за наблюдението на използването на генетични ресурси (прехвърлена впоследствие в съобщения за контролен пункт), информация относно компетентните национални  органи и т.н. МДПП също така дава възможност за споделяне на съответната информация между всички ангажирани участници.</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557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Style w:val="apple-converted-space"/>
          <w:rFonts w:ascii="Times New Roman" w:hAnsi="Times New Roman"/>
          <w:color w:val="333333"/>
          <w:sz w:val="20"/>
          <w:shd w:val="clear" w:color="auto" w:fill="FFFFFF"/>
        </w:rPr>
        <w:t> </w:t>
      </w:r>
      <w:r>
        <w:rPr>
          <w:rFonts w:ascii="Times New Roman" w:hAnsi="Times New Roman"/>
          <w:i/>
          <w:color w:val="333333"/>
          <w:sz w:val="20"/>
          <w:shd w:val="clear" w:color="auto" w:fill="FFFFFF"/>
        </w:rPr>
        <w:t>Протоколът от Нагоя за достъп до генетични ресурси и справедливо и равноправно разпределение на ползите, произтичащи от тяхното използване (ДПП), към Конвенцията за биологичното разнообразие</w:t>
      </w:r>
      <w:r>
        <w:rPr>
          <w:rStyle w:val="apple-converted-space"/>
          <w:rFonts w:ascii="Times New Roman" w:hAnsi="Times New Roman"/>
          <w:color w:val="333333"/>
          <w:sz w:val="20"/>
          <w:shd w:val="clear" w:color="auto" w:fill="FFFFFF"/>
        </w:rPr>
        <w:t> </w:t>
      </w:r>
      <w:r>
        <w:rPr>
          <w:rFonts w:ascii="Times New Roman" w:hAnsi="Times New Roman"/>
          <w:color w:val="333333"/>
          <w:sz w:val="20"/>
          <w:shd w:val="clear" w:color="auto" w:fill="FFFFFF"/>
        </w:rPr>
        <w:t>е приет на 29 октомври 2010 г. в Нагоя, Япония на десетото заседание на Конференцията на страните</w:t>
      </w:r>
      <w:r>
        <w:rPr>
          <w:rFonts w:ascii="Times New Roman" w:hAnsi="Times New Roman"/>
          <w:sz w:val="20"/>
        </w:rPr>
        <w:t xml:space="preserve"> по </w:t>
      </w:r>
      <w:r>
        <w:rPr>
          <w:rFonts w:ascii="Times New Roman" w:hAnsi="Times New Roman"/>
          <w:color w:val="333333"/>
          <w:sz w:val="20"/>
          <w:shd w:val="clear" w:color="auto" w:fill="FFFFFF"/>
        </w:rPr>
        <w:t>КБР и влиза в сила на 12 октомври 2014 г.,</w:t>
      </w:r>
      <w:r>
        <w:rPr>
          <w:rFonts w:ascii="Times New Roman" w:hAnsi="Times New Roman"/>
          <w:sz w:val="20"/>
        </w:rPr>
        <w:t xml:space="preserve"> https://www.cbd.int/abs/doc/protocol/nagoya-protocol-bulgarian.pdf.</w:t>
      </w:r>
      <w:r>
        <w:rPr>
          <w:rStyle w:val="Hyperlink"/>
          <w:rFonts w:ascii="Times New Roman" w:hAnsi="Times New Roman"/>
          <w:sz w:val="20"/>
          <w:u w:color="12282C"/>
        </w:rPr>
        <w:t xml:space="preserve"> </w:t>
      </w:r>
    </w:p>
  </w:footnote>
  <w:footnote w:id="2">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333333"/>
          <w:sz w:val="20"/>
          <w:shd w:val="clear" w:color="auto" w:fill="FFFFFF"/>
        </w:rPr>
        <w:t xml:space="preserve">Конвенция на ООН за биологичното разнообразие, приета през 1992 г. в Найроби и открита за подписване на срещата на високо равнище за Земята в Рио де Жанейро (05 юни 1992 г.). Европейският съюз утвърждава КБР с Решение на Съвета от 25 октомври 1993 г. за сключване на Конвенцията за биологичното разнообразие (ОВ L 309 от 13.12.1993 г., стр. 1) — https://eur-lex.europa.eu/legal-content/BG/TXT/?uri=celex%3A31993D0626. </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Член 14 от Протокола.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0C68BF0-602B-47BA-AF18-8937AA12E194"/>
    <w:docVar w:name="LW_COVERPAGE_TYPE" w:val="1"/>
    <w:docVar w:name="LW_CROSSREFERENCE" w:val="&lt;UNUSED&gt;"/>
    <w:docVar w:name="LW_DocType" w:val="NORMAL"/>
    <w:docVar w:name="LW_EMISSION" w:val="24.1.2019"/>
    <w:docVar w:name="LW_EMISSION_ISODATE" w:val="2019-01-2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77?\u1075?\u1083?\u1072?\u1084?\u1077?\u1085?\u1090? (\u1045?\u1057?) \u8470? 511/2014 \u1085?\u1072? \u1045?\u1074?\u1088?\u1086?\u1087?\u1077?\u1081?\u1089?\u1082?\u1080?\u1103? \u1087?\u1072?\u1088?\u1083?\u1072?\u1084?\u1077?\u1085?\u1090? \u1080? \u1085?\u1072? \u1057?\u1098?\u1074?\u1077?\u1090?\u1072? \u1086?\u1090? 16 \u1072?\u1087?\u1088?\u1080?\u1083? 2014 \u1075?. \u1086?\u1090?\u1085?\u1086?\u1089?\u1085?\u1086? \u1084?\u1077?\u1088?\u1082?\u1080?\u1090?\u1077? \u1079?\u1072? \u1089?\u1087?\u1072?\u1079?\u1074?\u1072?\u1085?\u1077? \u1086?\u1090? \u1087?\u1086?\u1083?\u1079?\u1074?\u1072?\u1090?\u1077?\u1083?\u1080?\u1090?\u1077?, \u1087?\u1088?\u1086?\u1080?\u1079?\u1090?\u1080?\u1095?\u1072?\u1097?\u1080? \u1086?\u1090? \u1055?\u1088?\u1086?\u1090?\u1086?\u1082?\u1086?\u1083?\u1072? \u1086?\u1090? \u1053?\u1072?\u1075?\u1086?\u1103? \u1079?\u1072? \u1076?\u1086?\u1089?\u1090?\u1098?\u1087?\u1072? \u1076?\u1086? \u1075?\u1077?\u1085?\u1077?\u1090?\u1080?\u1095?\u1085?\u1080? \u1088?\u1077?\u1089?\u1091?\u1088?\u1089?\u1080? \u1080? \u1089?\u1087?\u1088?\u1072?\u1074?\u1077?\u1076?\u1083?\u1080?\u1074?\u1072?\u1090?\u1072? \u1080? \u1088?\u1072?\u1074?\u1085?\u1086?\u1087?\u1088?\u1072?\u1074?\u1085?\u1072? \u1087?\u1086?\u1076?\u1103?\u1083?\u1073?\u1072? \u1085?\u1072? \u1087?\u1086?\u1083?\u1079?\u1080?\u1090?\u1077?, \u1087?\u1088?\u1086?\u1080?\u1079?\u1090?\u1080?\u1095?\u1072?\u1097?\u1080? \u1086?\u1090? \u1090?\u1103?\u1093?\u1085?\u1086?\u1090?\u1086? \u1080?\u1079?\u1087?\u1086?\u1083?\u1079?\u1074?\u1072?\u1085?\u1077? \u1074? \u1057?\u1098?\u1102?\u1079?\u1072?"/>
    <w:docVar w:name="LW_PART_NBR" w:val="1"/>
    <w:docVar w:name="LW_PART_NBR_TOTAL" w:val="1"/>
    <w:docVar w:name="LW_REF.INST.NEW" w:val="COM"/>
    <w:docVar w:name="LW_REF.INST.NEW_ADOPTED" w:val="final"/>
    <w:docVar w:name="LW_REF.INST.NEW_TEXT" w:val="(2019)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416</Words>
  <Characters>2517</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CIACCI Mery (ENV)</dc:creator>
  <cp:keywords/>
  <dc:description/>
  <cp:lastModifiedBy>WES PDFC Administrator</cp:lastModifiedBy>
  <cp:revision>13</cp:revision>
  <dcterms:created xsi:type="dcterms:W3CDTF">2019-01-10T18:36:00Z</dcterms:created>
  <dcterms:modified xsi:type="dcterms:W3CDTF">2019-01-23T09:11:00Z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