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02C72FD3-88C4-4229-8AFC-EDFE7294994D" style="width:450.8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>Position à prendre par les États membres qui sont membres de la Commission des stupéfiants, agissant conjointement, dans l’intérêt de l’Union, lors de la soixante-deuxième session de ladite commission organisée du 18 au 22 mars 2018, en ce qui concerne les modifications à apporter au champ d’application du contrôle des substances:</w:t>
      </w:r>
    </w:p>
    <w:p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>l’ADB-FUBINACA doit être inscrit au tableau II de la Convention sur les substances psychotropes;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>le FUB-AMB doit être inscrit au tableau II de la Convention sur les substances psychotropes;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>l’ADB-CHMINACA doit être inscrit au tableau II de la Convention sur les substances psychotropes;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>le CUMYL-4CN-BINACA doit être inscrit au tableau II de la Convention sur les substances psychotropes;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 xml:space="preserve">le cyclopropylfentanyl doit être inscrit au tableau I de la Convention sur les stupéfiants; 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>le méthoxyacétylfentanyl doit être inscrit au tableau I de la Convention sur les stupéfiants;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>l’</w:t>
      </w:r>
      <w:r>
        <w:rPr>
          <w:i/>
          <w:noProof/>
        </w:rPr>
        <w:t>ortho</w:t>
      </w:r>
      <w:r>
        <w:rPr>
          <w:noProof/>
        </w:rPr>
        <w:t>-fluorofentanyl doit être inscrit au tableau I de la Convention sur les stupéfiants;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 xml:space="preserve">le </w:t>
      </w:r>
      <w:r>
        <w:rPr>
          <w:i/>
          <w:noProof/>
        </w:rPr>
        <w:t>p</w:t>
      </w:r>
      <w:r>
        <w:rPr>
          <w:noProof/>
        </w:rPr>
        <w:t>-fluoro-butyrylfentanyl doit être inscrit au tableau I de la Convention sur les stupéfiants;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 xml:space="preserve">le </w:t>
      </w:r>
      <w:r>
        <w:rPr>
          <w:i/>
          <w:noProof/>
        </w:rPr>
        <w:t>p</w:t>
      </w:r>
      <w:r>
        <w:rPr>
          <w:noProof/>
        </w:rPr>
        <w:t>-méthoxy-butyrfentanyl doit être inscrit au tableau I de la Convention sur les stupéfiants;</w:t>
      </w:r>
    </w:p>
    <w:p>
      <w:pPr>
        <w:pStyle w:val="Point0number"/>
        <w:numPr>
          <w:ilvl w:val="0"/>
          <w:numId w:val="15"/>
        </w:numPr>
        <w:rPr>
          <w:noProof/>
        </w:rPr>
      </w:pPr>
      <w:r>
        <w:rPr>
          <w:noProof/>
        </w:rPr>
        <w:t xml:space="preserve">la </w:t>
      </w:r>
      <w:r>
        <w:rPr>
          <w:i/>
          <w:noProof/>
        </w:rPr>
        <w:t>N</w:t>
      </w:r>
      <w:r>
        <w:rPr>
          <w:noProof/>
        </w:rPr>
        <w:t>-éthylnorpentylone doit être inscrite au tableau II de la Convention sur les substances psychotropes.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3026C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FFABD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35603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18FF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AFA0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ADC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BA63E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75037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4"/>
  </w:num>
  <w:num w:numId="19">
    <w:abstractNumId w:val="3"/>
  </w:num>
  <w:num w:numId="20">
    <w:abstractNumId w:val="6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1-28 12:05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2C72FD3-88C4-4229-8AFC-EDFE7294994D"/>
    <w:docVar w:name="LW_COVERPAGE_TYPE" w:val="1"/>
    <w:docVar w:name="LW_CROSSREFERENCE" w:val="&lt;UNUSED&gt;"/>
    <w:docVar w:name="LW_DocType" w:val="ANNEX"/>
    <w:docVar w:name="LW_EMISSION" w:val="7.1.2019"/>
    <w:docVar w:name="LW_EMISSION_ISODATE" w:val="2019-01-07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position à prendre, au nom de l\u8217?Union européenne, lors de la soixante-deuxième session de la Commission des stupéfiants, en ce qui concerne l\u8217?inscription de substances aux tableaux annexés à la Convention unique sur les stupéfiants de 1961, telle que modifiée par le protocole de 1972, et à la Convention sur les substances psychotropes de 1971"/>
    <w:docVar w:name="LW_OBJETACTEPRINCIPAL.CP" w:val="relative à la position à prendre, au nom de l\u8217?Union européenne, lors de la soixante-deuxième session de la Commission des stupéfiants, en ce qui concerne l\u8217?inscription de substances aux tableaux annexés à la Convention unique sur les stupéfiants de 1961, telle que modifiée par le protocole de 1972, et à la Convention sur les substances psychotropes de 1971"/>
    <w:docVar w:name="LW_PART_NBR" w:val="1"/>
    <w:docVar w:name="LW_PART_NBR_TOTAL" w:val="1"/>
    <w:docVar w:name="LW_REF.INST.NEW" w:val="COM"/>
    <w:docVar w:name="LW_REF.INST.NEW_ADOPTED" w:val="final"/>
    <w:docVar w:name="LW_REF.INST.NEW_TEXT" w:val="(2018) 86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198</Words>
  <Characters>1114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 Edith (SG)</dc:creator>
  <cp:lastModifiedBy>WES PDFC Administrator</cp:lastModifiedBy>
  <cp:revision>8</cp:revision>
  <cp:lastPrinted>2018-12-11T17:10:00Z</cp:lastPrinted>
  <dcterms:created xsi:type="dcterms:W3CDTF">2019-01-18T11:41:00Z</dcterms:created>
  <dcterms:modified xsi:type="dcterms:W3CDTF">2019-01-28T11:05:00Z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