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66" w:rsidRDefault="00E56073" w:rsidP="00E56073">
      <w:pPr>
        <w:pStyle w:val="Pagedecouverture"/>
        <w:rPr>
          <w:noProof/>
          <w:lang w:val="en-GB" w:eastAsia="en-GB"/>
        </w:rPr>
      </w:pPr>
      <w:bookmarkStart w:id="0" w:name="LW_BM_COVERPAGE"/>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699072E-46B1-46FB-A4B4-B5F760FD6E01" style="width:450.6pt;height:428.4pt">
            <v:imagedata r:id="rId8" o:title=""/>
          </v:shape>
        </w:pict>
      </w:r>
    </w:p>
    <w:bookmarkEnd w:id="0"/>
    <w:p w:rsidR="006E4266" w:rsidRDefault="006E4266">
      <w:pPr>
        <w:pStyle w:val="Pagedecouverture"/>
        <w:rPr>
          <w:noProof/>
          <w:lang w:val="en-GB" w:eastAsia="en-GB"/>
        </w:rPr>
        <w:sectPr w:rsidR="006E4266" w:rsidSect="00E5607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6E4266" w:rsidRDefault="00E56073">
      <w:pPr>
        <w:keepNext/>
        <w:tabs>
          <w:tab w:val="left" w:pos="850"/>
        </w:tabs>
        <w:spacing w:before="360" w:after="120" w:line="240" w:lineRule="auto"/>
        <w:jc w:val="center"/>
        <w:outlineLvl w:val="0"/>
        <w:rPr>
          <w:rFonts w:ascii="Times New Roman" w:eastAsia="Times New Roman" w:hAnsi="Times New Roman" w:cs="Times New Roman"/>
          <w:b/>
          <w:smallCaps/>
          <w:noProof/>
          <w:sz w:val="24"/>
          <w:szCs w:val="20"/>
          <w:lang w:val="en-GB"/>
        </w:rPr>
      </w:pPr>
      <w:bookmarkStart w:id="1" w:name="_Toc359571817"/>
      <w:bookmarkStart w:id="2" w:name="_Toc359483856"/>
      <w:bookmarkStart w:id="3" w:name="_Toc359596073"/>
      <w:bookmarkStart w:id="4" w:name="_GoBack"/>
      <w:bookmarkEnd w:id="1"/>
      <w:bookmarkEnd w:id="4"/>
      <w:r>
        <w:rPr>
          <w:rFonts w:ascii="Times New Roman" w:hAnsi="Times New Roman"/>
          <w:b/>
          <w:smallCaps/>
          <w:noProof/>
          <w:sz w:val="24"/>
        </w:rPr>
        <w:lastRenderedPageBreak/>
        <w:t>Първи</w:t>
      </w:r>
      <w:r>
        <w:rPr>
          <w:rFonts w:ascii="Times New Roman" w:hAnsi="Times New Roman"/>
          <w:b/>
          <w:smallCaps/>
          <w:noProof/>
          <w:sz w:val="24"/>
          <w:lang w:val="en-GB"/>
        </w:rPr>
        <w:t xml:space="preserve"> </w:t>
      </w:r>
      <w:r>
        <w:rPr>
          <w:rFonts w:ascii="Times New Roman" w:hAnsi="Times New Roman"/>
          <w:b/>
          <w:smallCaps/>
          <w:noProof/>
          <w:sz w:val="24"/>
        </w:rPr>
        <w:t>обзор</w:t>
      </w:r>
      <w:r>
        <w:rPr>
          <w:rFonts w:ascii="Times New Roman" w:hAnsi="Times New Roman"/>
          <w:b/>
          <w:smallCaps/>
          <w:noProof/>
          <w:sz w:val="24"/>
          <w:lang w:val="en-GB"/>
        </w:rPr>
        <w:t xml:space="preserve"> </w:t>
      </w:r>
      <w:r>
        <w:rPr>
          <w:rFonts w:ascii="Times New Roman" w:hAnsi="Times New Roman"/>
          <w:b/>
          <w:smallCaps/>
          <w:noProof/>
          <w:sz w:val="24"/>
        </w:rPr>
        <w:t>на</w:t>
      </w:r>
      <w:r>
        <w:rPr>
          <w:rFonts w:ascii="Times New Roman" w:hAnsi="Times New Roman"/>
          <w:b/>
          <w:smallCaps/>
          <w:noProof/>
          <w:sz w:val="24"/>
          <w:lang w:val="en-GB"/>
        </w:rPr>
        <w:t xml:space="preserve"> </w:t>
      </w:r>
      <w:r>
        <w:rPr>
          <w:rFonts w:ascii="Times New Roman" w:hAnsi="Times New Roman"/>
          <w:b/>
          <w:smallCaps/>
          <w:noProof/>
          <w:sz w:val="24"/>
        </w:rPr>
        <w:t>мерките</w:t>
      </w:r>
      <w:r>
        <w:rPr>
          <w:rFonts w:ascii="Times New Roman" w:hAnsi="Times New Roman"/>
          <w:b/>
          <w:smallCaps/>
          <w:noProof/>
          <w:sz w:val="24"/>
          <w:lang w:val="en-GB"/>
        </w:rPr>
        <w:t xml:space="preserve"> </w:t>
      </w:r>
      <w:r>
        <w:rPr>
          <w:rFonts w:ascii="Times New Roman" w:hAnsi="Times New Roman"/>
          <w:b/>
          <w:smallCaps/>
          <w:noProof/>
          <w:sz w:val="24"/>
        </w:rPr>
        <w:t>за</w:t>
      </w:r>
      <w:r>
        <w:rPr>
          <w:rFonts w:ascii="Times New Roman" w:hAnsi="Times New Roman"/>
          <w:b/>
          <w:smallCaps/>
          <w:noProof/>
          <w:sz w:val="24"/>
          <w:lang w:val="en-GB"/>
        </w:rPr>
        <w:t xml:space="preserve"> </w:t>
      </w:r>
      <w:r>
        <w:rPr>
          <w:rFonts w:ascii="Times New Roman" w:hAnsi="Times New Roman"/>
          <w:b/>
          <w:smallCaps/>
          <w:noProof/>
          <w:sz w:val="24"/>
        </w:rPr>
        <w:t>чистота</w:t>
      </w:r>
      <w:r>
        <w:rPr>
          <w:rFonts w:ascii="Times New Roman" w:hAnsi="Times New Roman"/>
          <w:b/>
          <w:smallCaps/>
          <w:noProof/>
          <w:sz w:val="24"/>
          <w:lang w:val="en-GB"/>
        </w:rPr>
        <w:t xml:space="preserve"> </w:t>
      </w:r>
      <w:r>
        <w:rPr>
          <w:rFonts w:ascii="Times New Roman" w:hAnsi="Times New Roman"/>
          <w:b/>
          <w:smallCaps/>
          <w:noProof/>
          <w:sz w:val="24"/>
        </w:rPr>
        <w:t>на</w:t>
      </w:r>
      <w:r>
        <w:rPr>
          <w:rFonts w:ascii="Times New Roman" w:hAnsi="Times New Roman"/>
          <w:b/>
          <w:smallCaps/>
          <w:noProof/>
          <w:sz w:val="24"/>
          <w:lang w:val="en-GB"/>
        </w:rPr>
        <w:t xml:space="preserve"> </w:t>
      </w:r>
      <w:r>
        <w:rPr>
          <w:rFonts w:ascii="Times New Roman" w:hAnsi="Times New Roman"/>
          <w:b/>
          <w:smallCaps/>
          <w:noProof/>
          <w:sz w:val="24"/>
        </w:rPr>
        <w:t>въздуха</w:t>
      </w:r>
    </w:p>
    <w:p w:rsidR="006E4266" w:rsidRDefault="00E56073">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lang w:val="en-GB"/>
        </w:rPr>
        <w:t xml:space="preserve">  </w:t>
      </w:r>
      <w:r>
        <w:rPr>
          <w:rFonts w:ascii="Times New Roman" w:hAnsi="Times New Roman"/>
          <w:b/>
          <w:smallCaps/>
          <w:noProof/>
          <w:sz w:val="24"/>
        </w:rPr>
        <w:t>Въведение</w:t>
      </w:r>
      <w:bookmarkEnd w:id="2"/>
      <w:bookmarkEnd w:id="3"/>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Замърсяването на въздуха продължава да бъде сериозен екологичен и здравен проблем в </w:t>
      </w:r>
      <w:r>
        <w:rPr>
          <w:rFonts w:ascii="Times New Roman" w:hAnsi="Times New Roman"/>
          <w:noProof/>
          <w:sz w:val="24"/>
        </w:rPr>
        <w:t>ЕС.  Много европейски градове страдат от лошо качество на въздуха и са с превишение на стандартите на ЕС, определени в Директива 2008/50/ЕО</w:t>
      </w:r>
      <w:r>
        <w:rPr>
          <w:rFonts w:ascii="Times New Roman" w:hAnsi="Times New Roman"/>
          <w:noProof/>
          <w:sz w:val="24"/>
          <w:vertAlign w:val="superscript"/>
        </w:rPr>
        <w:footnoteReference w:id="1"/>
      </w:r>
      <w:r>
        <w:rPr>
          <w:rFonts w:ascii="Times New Roman" w:hAnsi="Times New Roman"/>
          <w:noProof/>
          <w:sz w:val="24"/>
        </w:rPr>
        <w:t xml:space="preserve">относно качеството на атмосферния въздух, а в още по-голяма степен и на стойностите, препоръчани в указанията на </w:t>
      </w:r>
      <w:r>
        <w:rPr>
          <w:rFonts w:ascii="Times New Roman" w:hAnsi="Times New Roman"/>
          <w:noProof/>
          <w:sz w:val="24"/>
        </w:rPr>
        <w:t>Световната здравна организация (СЗО). Съгласно оценка на Европейската агенция за околната среда броят на преждевременно починалите в ЕС през 2015 г. вследствие на замърсяването на въздуха е приблизително 400 000 души</w:t>
      </w:r>
      <w:r>
        <w:rPr>
          <w:rFonts w:ascii="Times New Roman" w:hAnsi="Times New Roman"/>
          <w:noProof/>
          <w:sz w:val="24"/>
          <w:vertAlign w:val="superscript"/>
        </w:rPr>
        <w:footnoteReference w:id="2"/>
      </w:r>
      <w:r>
        <w:rPr>
          <w:rFonts w:ascii="Times New Roman" w:hAnsi="Times New Roman"/>
          <w:noProof/>
          <w:sz w:val="24"/>
        </w:rPr>
        <w:t>.</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резултат от прегледа от страна на Е</w:t>
      </w:r>
      <w:r>
        <w:rPr>
          <w:rFonts w:ascii="Times New Roman" w:hAnsi="Times New Roman"/>
          <w:noProof/>
          <w:sz w:val="24"/>
        </w:rPr>
        <w:t>С на политиката за качество на въздуха за периода 2011—2013 г. бе подготвен пакетът от мерки „Чист въздух за Европа“ от декември 2013 г</w:t>
      </w:r>
      <w:r>
        <w:rPr>
          <w:rFonts w:ascii="Times New Roman" w:hAnsi="Times New Roman"/>
          <w:noProof/>
          <w:sz w:val="24"/>
          <w:vertAlign w:val="superscript"/>
        </w:rPr>
        <w:footnoteReference w:id="3"/>
      </w:r>
      <w:r>
        <w:rPr>
          <w:rFonts w:ascii="Times New Roman" w:hAnsi="Times New Roman"/>
          <w:noProof/>
          <w:sz w:val="24"/>
        </w:rPr>
        <w:t>.  Пакетът включва едно съобщение — „Програма за чист въздух за Европа“</w:t>
      </w:r>
      <w:r>
        <w:rPr>
          <w:rFonts w:ascii="Times New Roman" w:hAnsi="Times New Roman"/>
          <w:noProof/>
          <w:sz w:val="24"/>
          <w:vertAlign w:val="superscript"/>
        </w:rPr>
        <w:footnoteReference w:id="4"/>
      </w:r>
      <w:r>
        <w:rPr>
          <w:rFonts w:ascii="Times New Roman" w:hAnsi="Times New Roman"/>
          <w:noProof/>
          <w:sz w:val="24"/>
        </w:rPr>
        <w:t xml:space="preserve"> — и три законодателни предложения, както следва</w:t>
      </w:r>
      <w:r>
        <w:rPr>
          <w:rFonts w:ascii="Times New Roman" w:hAnsi="Times New Roman"/>
          <w:noProof/>
          <w:sz w:val="24"/>
        </w:rPr>
        <w:t>: за намаляване на емисиите от средни горивни инсталации, прието с Директива (ЕС) 2015/2193 („Директивата относно СГИ“)</w:t>
      </w:r>
      <w:r>
        <w:rPr>
          <w:rFonts w:ascii="Times New Roman" w:hAnsi="Times New Roman"/>
          <w:noProof/>
          <w:sz w:val="24"/>
          <w:vertAlign w:val="superscript"/>
        </w:rPr>
        <w:footnoteReference w:id="5"/>
      </w:r>
      <w:r>
        <w:rPr>
          <w:rFonts w:ascii="Times New Roman" w:hAnsi="Times New Roman"/>
          <w:noProof/>
          <w:sz w:val="24"/>
        </w:rPr>
        <w:t xml:space="preserve">; за ратифициране на изменението на Протокола от Гьотеборг от 2012 г. за определяне на задължения за намаляване на емисиите за 2020 г., </w:t>
      </w:r>
      <w:r>
        <w:rPr>
          <w:rFonts w:ascii="Times New Roman" w:hAnsi="Times New Roman"/>
          <w:noProof/>
          <w:sz w:val="24"/>
        </w:rPr>
        <w:t>прието с Решение 2017/1757/ЕС на Съвета</w:t>
      </w:r>
      <w:r>
        <w:rPr>
          <w:rFonts w:ascii="Times New Roman" w:hAnsi="Times New Roman"/>
          <w:noProof/>
          <w:sz w:val="24"/>
          <w:vertAlign w:val="superscript"/>
        </w:rPr>
        <w:footnoteReference w:id="6"/>
      </w:r>
      <w:r>
        <w:rPr>
          <w:rFonts w:ascii="Times New Roman" w:hAnsi="Times New Roman"/>
          <w:noProof/>
          <w:sz w:val="24"/>
        </w:rPr>
        <w:t>; и за определяне на новите национални задължения за намаляване на емисиите за 2030 г. в нова директива за намаляване на националните емисии на някои атмосферни замърсители (т.е. за национални тавани за емисиите), пр</w:t>
      </w:r>
      <w:r>
        <w:rPr>
          <w:rFonts w:ascii="Times New Roman" w:hAnsi="Times New Roman"/>
          <w:noProof/>
          <w:sz w:val="24"/>
        </w:rPr>
        <w:t>ието с Директива (ЕС) 2016/2284 („Директивата относно НТЕ“)</w:t>
      </w:r>
      <w:r>
        <w:rPr>
          <w:rFonts w:ascii="Times New Roman" w:hAnsi="Times New Roman"/>
          <w:noProof/>
          <w:sz w:val="24"/>
          <w:vertAlign w:val="superscript"/>
        </w:rPr>
        <w:footnoteReference w:id="7"/>
      </w:r>
      <w:r>
        <w:rPr>
          <w:rFonts w:ascii="Times New Roman" w:hAnsi="Times New Roman"/>
          <w:noProof/>
          <w:sz w:val="24"/>
        </w:rPr>
        <w:t xml:space="preserve">. </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Програмата за чист въздух от 2013 г. се предлага изготвянето на редовен доклад относно ситуацията с качеството на въздуха в Европа, който да обхваща перспективите за намаляване на емисиите и </w:t>
      </w:r>
      <w:r>
        <w:rPr>
          <w:rFonts w:ascii="Times New Roman" w:hAnsi="Times New Roman"/>
          <w:noProof/>
          <w:sz w:val="24"/>
        </w:rPr>
        <w:t xml:space="preserve">напредъка по отношение на целите на ЕС. С приемането на Директивата относно НТЕ през декември 2016 г. е актуализирана аналитичната основа и това първо издание на „Обзор на мерките за чистота на въздуха“ има за цел да изпълни тази информационна задача и да </w:t>
      </w:r>
      <w:r>
        <w:rPr>
          <w:rFonts w:ascii="Times New Roman" w:hAnsi="Times New Roman"/>
          <w:noProof/>
          <w:sz w:val="24"/>
        </w:rPr>
        <w:t>предостави контекст за работата на държавите членки при разработване на националните програми за контрол на замърсяването на въздуха съгласно Директивата относно НТЕ до1 април 2019 г.</w:t>
      </w:r>
    </w:p>
    <w:p w:rsidR="006E4266" w:rsidRDefault="00E56073">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 xml:space="preserve">Състояние на качеството на въздуха в ЕС и напредък към постигане на </w:t>
      </w:r>
      <w:r>
        <w:rPr>
          <w:rFonts w:ascii="Times New Roman" w:hAnsi="Times New Roman"/>
          <w:b/>
          <w:smallCaps/>
          <w:noProof/>
          <w:sz w:val="24"/>
        </w:rPr>
        <w:t>съответствие с изискванията в периода до 2020 г.</w:t>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Текущата ситуация по отношение на емисиите в атмосферата и качеството на въздуха</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Както е показано на фигура 1 по-долу, положителната тенденция за намаляване на основните замърсители на въздуха в ЕС се запазв</w:t>
      </w:r>
      <w:r>
        <w:rPr>
          <w:rFonts w:ascii="Times New Roman" w:hAnsi="Times New Roman"/>
          <w:noProof/>
          <w:sz w:val="24"/>
        </w:rPr>
        <w:t>а, както и разделянето на тенденциите на изменение на емисиите от икономическия растеж. Като цяло през периода 2000 —2015 г. общият БВП на ЕС е отбелязал ръст с 32 %, докато емисиите на основните замърсители на въздуха са намалели в различните случаи между</w:t>
      </w:r>
      <w:r>
        <w:rPr>
          <w:rFonts w:ascii="Times New Roman" w:hAnsi="Times New Roman"/>
          <w:noProof/>
          <w:sz w:val="24"/>
        </w:rPr>
        <w:t xml:space="preserve"> 10 % (за амоняка — NH</w:t>
      </w:r>
      <w:r>
        <w:rPr>
          <w:rFonts w:ascii="Times New Roman" w:hAnsi="Times New Roman"/>
          <w:noProof/>
          <w:sz w:val="24"/>
          <w:vertAlign w:val="subscript"/>
        </w:rPr>
        <w:t>3</w:t>
      </w:r>
      <w:r>
        <w:rPr>
          <w:rFonts w:ascii="Times New Roman" w:hAnsi="Times New Roman"/>
          <w:noProof/>
          <w:sz w:val="24"/>
        </w:rPr>
        <w:t>) и 70 % (за серните оксиди — SO</w:t>
      </w:r>
      <w:r>
        <w:rPr>
          <w:rFonts w:ascii="Times New Roman" w:hAnsi="Times New Roman"/>
          <w:noProof/>
          <w:sz w:val="24"/>
          <w:vertAlign w:val="subscript"/>
        </w:rPr>
        <w:t>x</w:t>
      </w:r>
      <w:r>
        <w:rPr>
          <w:rFonts w:ascii="Times New Roman" w:hAnsi="Times New Roman"/>
          <w:noProof/>
          <w:sz w:val="24"/>
        </w:rPr>
        <w:t>).</w:t>
      </w:r>
    </w:p>
    <w:p w:rsidR="006E4266" w:rsidRDefault="00E56073">
      <w:pPr>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1: Изменение на емисиите в страните от ЕС-28 за периода 2000 — 2015 г. (като % от количествата в 2000 г.) [Източник ЕАОС]</w:t>
      </w:r>
    </w:p>
    <w:p w:rsidR="006E4266" w:rsidRDefault="00E56073">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5761355" cy="260104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2601043"/>
                    </a:xfrm>
                    <a:prstGeom prst="rect">
                      <a:avLst/>
                    </a:prstGeom>
                    <a:noFill/>
                    <a:ln>
                      <a:noFill/>
                    </a:ln>
                  </pic:spPr>
                </pic:pic>
              </a:graphicData>
            </a:graphic>
          </wp:inline>
        </w:drawing>
      </w:r>
      <w:r>
        <w:rPr>
          <w:rFonts w:ascii="Times New Roman" w:hAnsi="Times New Roman"/>
          <w:noProof/>
          <w:sz w:val="24"/>
        </w:rPr>
        <w:t>Все още обаче са налице сериозни проблеми, свързани с превишаването</w:t>
      </w:r>
      <w:r>
        <w:rPr>
          <w:rFonts w:ascii="Times New Roman" w:hAnsi="Times New Roman"/>
          <w:noProof/>
          <w:sz w:val="24"/>
        </w:rPr>
        <w:t xml:space="preserve"> на пределно допустимите стойности във връзка с качеството на въздуха в ЕС. През 2015 г. до 20 % от градското население на ЕС-28 е било с експозиция на нива над дневната пределно допустима стойност на ЕС за прахови частици (PM</w:t>
      </w:r>
      <w:r>
        <w:rPr>
          <w:rFonts w:ascii="Times New Roman" w:hAnsi="Times New Roman"/>
          <w:noProof/>
          <w:sz w:val="24"/>
          <w:vertAlign w:val="subscript"/>
        </w:rPr>
        <w:t>10</w:t>
      </w:r>
      <w:r>
        <w:rPr>
          <w:rFonts w:ascii="Times New Roman" w:hAnsi="Times New Roman"/>
          <w:noProof/>
          <w:sz w:val="24"/>
        </w:rPr>
        <w:t>).  Що се отнася до фините п</w:t>
      </w:r>
      <w:r>
        <w:rPr>
          <w:rFonts w:ascii="Times New Roman" w:hAnsi="Times New Roman"/>
          <w:noProof/>
          <w:sz w:val="24"/>
        </w:rPr>
        <w:t>рахови частици (PM</w:t>
      </w:r>
      <w:r>
        <w:rPr>
          <w:rFonts w:ascii="Times New Roman" w:hAnsi="Times New Roman"/>
          <w:noProof/>
          <w:sz w:val="24"/>
          <w:vertAlign w:val="subscript"/>
        </w:rPr>
        <w:t>2.5</w:t>
      </w:r>
      <w:r>
        <w:rPr>
          <w:rFonts w:ascii="Times New Roman" w:hAnsi="Times New Roman"/>
          <w:noProof/>
          <w:sz w:val="24"/>
        </w:rPr>
        <w:t>), до 8 % от градското население са били изложени на концентрации над пределно допустимата стойност на ЕС от 25 µg/m</w:t>
      </w:r>
      <w:r>
        <w:rPr>
          <w:rFonts w:ascii="Times New Roman" w:hAnsi="Times New Roman"/>
          <w:noProof/>
          <w:sz w:val="24"/>
          <w:vertAlign w:val="superscript"/>
        </w:rPr>
        <w:t>3</w:t>
      </w:r>
      <w:r>
        <w:rPr>
          <w:rFonts w:ascii="Times New Roman" w:hAnsi="Times New Roman"/>
          <w:noProof/>
          <w:sz w:val="24"/>
        </w:rPr>
        <w:t xml:space="preserve">, а повече от 82 % от него са били изложени на нива, надхвърлящи много по-строгата препоръчителна пределно допустима </w:t>
      </w:r>
      <w:r>
        <w:rPr>
          <w:rFonts w:ascii="Times New Roman" w:hAnsi="Times New Roman"/>
          <w:noProof/>
          <w:sz w:val="24"/>
        </w:rPr>
        <w:t>стойност на СЗО от 10 µg/m</w:t>
      </w:r>
      <w:r>
        <w:rPr>
          <w:rFonts w:ascii="Times New Roman" w:hAnsi="Times New Roman"/>
          <w:noProof/>
          <w:sz w:val="24"/>
          <w:vertAlign w:val="superscript"/>
        </w:rPr>
        <w:t>3</w:t>
      </w:r>
      <w:r>
        <w:rPr>
          <w:rFonts w:ascii="Times New Roman" w:hAnsi="Times New Roman"/>
          <w:noProof/>
          <w:sz w:val="24"/>
        </w:rPr>
        <w:t>.</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Годишната пределно допустима стойност по отношение на азотния диоксид (NO</w:t>
      </w:r>
      <w:r>
        <w:rPr>
          <w:rFonts w:ascii="Times New Roman" w:hAnsi="Times New Roman"/>
          <w:noProof/>
          <w:sz w:val="24"/>
          <w:vertAlign w:val="subscript"/>
        </w:rPr>
        <w:t>2</w:t>
      </w:r>
      <w:r>
        <w:rPr>
          <w:rFonts w:ascii="Times New Roman" w:hAnsi="Times New Roman"/>
          <w:noProof/>
          <w:sz w:val="24"/>
        </w:rPr>
        <w:t>) продължава да е превишена на много места в цяла Европа, като в 22 държави членки концентрациите са над допустимите граници (посочени еднакво от ЕС и СЗ</w:t>
      </w:r>
      <w:r>
        <w:rPr>
          <w:rFonts w:ascii="Times New Roman" w:hAnsi="Times New Roman"/>
          <w:noProof/>
          <w:sz w:val="24"/>
        </w:rPr>
        <w:t>О) и на тях са изложени до 9 % от градското население.</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Що се отнася до озона, 18 държави членки са регистрирали концентрации над целевата стойност на ЕС, а до 30 % от градското население на ЕС живеят в райони, в които целевата стойност е превишена, като по</w:t>
      </w:r>
      <w:r>
        <w:rPr>
          <w:rFonts w:ascii="Times New Roman" w:hAnsi="Times New Roman"/>
          <w:noProof/>
          <w:sz w:val="24"/>
        </w:rPr>
        <w:t>вече от 95 % от населението живеят в райони, в които са превишени по-строгите препоръчителни нива на СЗО</w:t>
      </w:r>
      <w:r>
        <w:rPr>
          <w:rFonts w:ascii="Times New Roman" w:eastAsia="Times New Roman" w:hAnsi="Times New Roman" w:cs="Times New Roman"/>
          <w:noProof/>
          <w:sz w:val="24"/>
          <w:szCs w:val="20"/>
          <w:lang w:val="en-GB" w:eastAsia="en-GB"/>
        </w:rPr>
        <w:footnoteReference w:id="8"/>
      </w:r>
      <w:r>
        <w:rPr>
          <w:rFonts w:ascii="Times New Roman" w:hAnsi="Times New Roman"/>
          <w:noProof/>
          <w:sz w:val="24"/>
        </w:rPr>
        <w:t>.</w:t>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Напредък към постигане на съответствие с изискванията</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Основният фактор, допринасящ за неспазване на пределно допустимата стойност на NO</w:t>
      </w:r>
      <w:r>
        <w:rPr>
          <w:rFonts w:ascii="Times New Roman" w:hAnsi="Times New Roman"/>
          <w:noProof/>
          <w:sz w:val="24"/>
          <w:vertAlign w:val="subscript"/>
        </w:rPr>
        <w:t>2</w:t>
      </w:r>
      <w:r>
        <w:rPr>
          <w:rFonts w:ascii="Times New Roman" w:hAnsi="Times New Roman"/>
          <w:noProof/>
          <w:sz w:val="24"/>
        </w:rPr>
        <w:t xml:space="preserve"> са емисиите </w:t>
      </w:r>
      <w:r>
        <w:rPr>
          <w:rFonts w:ascii="Times New Roman" w:hAnsi="Times New Roman"/>
          <w:noProof/>
          <w:sz w:val="24"/>
        </w:rPr>
        <w:t>на азотни оксиди (NO</w:t>
      </w:r>
      <w:r>
        <w:rPr>
          <w:rFonts w:ascii="Times New Roman" w:hAnsi="Times New Roman"/>
          <w:noProof/>
          <w:sz w:val="24"/>
          <w:vertAlign w:val="subscript"/>
        </w:rPr>
        <w:t>x</w:t>
      </w:r>
      <w:r>
        <w:rPr>
          <w:rFonts w:ascii="Times New Roman" w:hAnsi="Times New Roman"/>
          <w:noProof/>
          <w:sz w:val="24"/>
        </w:rPr>
        <w:t>) от дизеловите леки и лекотоварни автомобили, които системно са по-високи от граничните стойности във връзка с одобряването на типа на превозните средства. За постигането на напредък по този въпрос ще помогне неотдавнашното приемане (</w:t>
      </w:r>
      <w:r>
        <w:rPr>
          <w:rFonts w:ascii="Times New Roman" w:hAnsi="Times New Roman"/>
          <w:noProof/>
          <w:sz w:val="24"/>
        </w:rPr>
        <w:t>през 2017 г.) на нова процедура за изпитване в целия ЕС, отразяваща емисиите на тези превозни средства в реални условия</w:t>
      </w:r>
      <w:r>
        <w:rPr>
          <w:rFonts w:ascii="Times New Roman" w:hAnsi="Times New Roman"/>
          <w:noProof/>
          <w:sz w:val="24"/>
          <w:vertAlign w:val="superscript"/>
        </w:rPr>
        <w:footnoteReference w:id="9"/>
      </w:r>
      <w:r>
        <w:rPr>
          <w:rFonts w:ascii="Times New Roman" w:hAnsi="Times New Roman"/>
          <w:noProof/>
          <w:sz w:val="24"/>
        </w:rPr>
        <w:t xml:space="preserve"> и предложението на Европейската комисия от 2016 г. относно преработената система за одобряване на типа</w:t>
      </w:r>
      <w:r>
        <w:rPr>
          <w:rFonts w:ascii="Times New Roman" w:hAnsi="Times New Roman"/>
          <w:noProof/>
          <w:sz w:val="24"/>
          <w:vertAlign w:val="superscript"/>
        </w:rPr>
        <w:footnoteReference w:id="10"/>
      </w:r>
      <w:r>
        <w:rPr>
          <w:rFonts w:ascii="Times New Roman" w:hAnsi="Times New Roman"/>
          <w:noProof/>
          <w:sz w:val="24"/>
        </w:rPr>
        <w:t>.</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Мерките, насърчаващи постигане</w:t>
      </w:r>
      <w:r>
        <w:rPr>
          <w:rFonts w:ascii="Times New Roman" w:hAnsi="Times New Roman"/>
          <w:noProof/>
          <w:sz w:val="24"/>
        </w:rPr>
        <w:t>то на съответствие с пределно допустимата стойност за PM</w:t>
      </w:r>
      <w:r>
        <w:rPr>
          <w:rFonts w:ascii="Times New Roman" w:hAnsi="Times New Roman"/>
          <w:noProof/>
          <w:sz w:val="24"/>
          <w:vertAlign w:val="subscript"/>
        </w:rPr>
        <w:t>10</w:t>
      </w:r>
      <w:r>
        <w:rPr>
          <w:rFonts w:ascii="Times New Roman" w:hAnsi="Times New Roman"/>
          <w:noProof/>
          <w:sz w:val="24"/>
        </w:rPr>
        <w:t>, включват постепенното увеличение на ползването на филтри за прахови частици, с помощта на които да се спазват пределно допустимите стойности за емисиите на прахови частици за пътническите автомоби</w:t>
      </w:r>
      <w:r>
        <w:rPr>
          <w:rFonts w:ascii="Times New Roman" w:hAnsi="Times New Roman"/>
          <w:noProof/>
          <w:sz w:val="24"/>
        </w:rPr>
        <w:t>ли (съгласно нормите Евро 5 и Евро 6</w:t>
      </w:r>
      <w:r>
        <w:rPr>
          <w:rFonts w:ascii="Times New Roman" w:hAnsi="Times New Roman"/>
          <w:noProof/>
          <w:sz w:val="24"/>
          <w:vertAlign w:val="superscript"/>
        </w:rPr>
        <w:footnoteReference w:id="11"/>
      </w:r>
      <w:r>
        <w:rPr>
          <w:rFonts w:ascii="Times New Roman" w:hAnsi="Times New Roman"/>
          <w:noProof/>
          <w:sz w:val="24"/>
        </w:rPr>
        <w:t>), и осъществяването на контрол върху горивните инсталации съгласно Директивата за емисиите от промишлеността (ДЕП)</w:t>
      </w:r>
      <w:r>
        <w:rPr>
          <w:rFonts w:ascii="Times New Roman" w:hAnsi="Times New Roman"/>
          <w:noProof/>
          <w:sz w:val="24"/>
          <w:vertAlign w:val="superscript"/>
        </w:rPr>
        <w:footnoteReference w:id="12"/>
      </w:r>
      <w:r>
        <w:rPr>
          <w:rFonts w:ascii="Times New Roman" w:hAnsi="Times New Roman"/>
          <w:noProof/>
          <w:sz w:val="24"/>
        </w:rPr>
        <w:t xml:space="preserve"> и Директивата относно СГИ.  Макар че договорените през 2015 г. на равнището на ЕС изисквания за екопро</w:t>
      </w:r>
      <w:r>
        <w:rPr>
          <w:rFonts w:ascii="Times New Roman" w:hAnsi="Times New Roman"/>
          <w:noProof/>
          <w:sz w:val="24"/>
        </w:rPr>
        <w:t>ектирането на печки</w:t>
      </w:r>
      <w:r>
        <w:rPr>
          <w:rFonts w:ascii="Times New Roman" w:hAnsi="Times New Roman"/>
          <w:noProof/>
          <w:sz w:val="24"/>
          <w:vertAlign w:val="superscript"/>
        </w:rPr>
        <w:footnoteReference w:id="13"/>
      </w:r>
      <w:r>
        <w:rPr>
          <w:rFonts w:ascii="Times New Roman" w:hAnsi="Times New Roman"/>
          <w:noProof/>
          <w:sz w:val="24"/>
        </w:rPr>
        <w:t xml:space="preserve"> и котли</w:t>
      </w:r>
      <w:r>
        <w:rPr>
          <w:rFonts w:ascii="Times New Roman" w:hAnsi="Times New Roman"/>
          <w:noProof/>
          <w:sz w:val="24"/>
          <w:vertAlign w:val="superscript"/>
        </w:rPr>
        <w:footnoteReference w:id="14"/>
      </w:r>
      <w:r>
        <w:rPr>
          <w:rFonts w:ascii="Times New Roman" w:hAnsi="Times New Roman"/>
          <w:noProof/>
          <w:sz w:val="24"/>
        </w:rPr>
        <w:t xml:space="preserve"> на твърдо гориво ще се прилагат едва след 2020 г., редица държави членки са ги въвели проактивно преди крайния срок (напр. Полша), с цел въздействие върху емисиите на прахови частици, летливите органични съединения (ЛОС) и NOx</w:t>
      </w:r>
      <w:r>
        <w:rPr>
          <w:rFonts w:ascii="Times New Roman" w:hAnsi="Times New Roman"/>
          <w:noProof/>
          <w:sz w:val="24"/>
        </w:rPr>
        <w:t>. Освен това екопроектирането и други изисквания за подобряване на енергийната ефективност (определени по-специално в Директивата относно енергийните характеристики на сградите от 2010 г.</w:t>
      </w:r>
      <w:r>
        <w:rPr>
          <w:rFonts w:ascii="Times New Roman" w:hAnsi="Times New Roman"/>
          <w:noProof/>
          <w:sz w:val="24"/>
          <w:vertAlign w:val="superscript"/>
        </w:rPr>
        <w:footnoteReference w:id="15"/>
      </w:r>
      <w:r>
        <w:rPr>
          <w:rFonts w:ascii="Times New Roman" w:hAnsi="Times New Roman"/>
          <w:noProof/>
          <w:sz w:val="24"/>
        </w:rPr>
        <w:t>, Директивата за енергийната ефективност от 2012 г.</w:t>
      </w:r>
      <w:r>
        <w:rPr>
          <w:rFonts w:ascii="Times New Roman" w:hAnsi="Times New Roman"/>
          <w:noProof/>
          <w:sz w:val="24"/>
        </w:rPr>
        <w:footnoteReference w:id="16"/>
      </w:r>
      <w:r>
        <w:rPr>
          <w:rFonts w:ascii="Times New Roman" w:hAnsi="Times New Roman"/>
          <w:noProof/>
          <w:sz w:val="24"/>
        </w:rPr>
        <w:t xml:space="preserve"> и Регламента от</w:t>
      </w:r>
      <w:r>
        <w:rPr>
          <w:rFonts w:ascii="Times New Roman" w:hAnsi="Times New Roman"/>
          <w:noProof/>
          <w:sz w:val="24"/>
        </w:rPr>
        <w:t>носно енергийното етикетиране от 2017 г.</w:t>
      </w:r>
      <w:r>
        <w:rPr>
          <w:rFonts w:ascii="Times New Roman" w:hAnsi="Times New Roman"/>
          <w:noProof/>
          <w:sz w:val="24"/>
        </w:rPr>
        <w:footnoteReference w:id="17"/>
      </w:r>
      <w:r>
        <w:rPr>
          <w:rFonts w:ascii="Times New Roman" w:hAnsi="Times New Roman"/>
          <w:noProof/>
          <w:sz w:val="24"/>
        </w:rPr>
        <w:t xml:space="preserve">) допринасят за намаляване на емисиите на атмосферните замърсителите чрез намаляване на консумацията на енергия.  Положително въздействие върху </w:t>
      </w:r>
      <w:r>
        <w:rPr>
          <w:rFonts w:ascii="Times New Roman" w:hAnsi="Times New Roman"/>
          <w:noProof/>
          <w:color w:val="000000"/>
          <w:sz w:val="24"/>
        </w:rPr>
        <w:t>NOx, SO</w:t>
      </w:r>
      <w:r>
        <w:rPr>
          <w:rFonts w:ascii="Times New Roman" w:hAnsi="Times New Roman"/>
          <w:noProof/>
          <w:color w:val="000000"/>
          <w:sz w:val="24"/>
          <w:vertAlign w:val="subscript"/>
        </w:rPr>
        <w:t>2</w:t>
      </w:r>
      <w:r>
        <w:rPr>
          <w:rFonts w:ascii="Times New Roman" w:hAnsi="Times New Roman"/>
          <w:noProof/>
          <w:color w:val="000000"/>
          <w:sz w:val="24"/>
        </w:rPr>
        <w:t xml:space="preserve"> и праховите частици ще оказват и неотдавна приетите заключения относно най-добрите налични технологии (НДНТ) по отношение на големи горивни инсталации</w:t>
      </w:r>
      <w:r>
        <w:rPr>
          <w:rFonts w:ascii="Times New Roman" w:hAnsi="Times New Roman"/>
          <w:noProof/>
          <w:sz w:val="24"/>
          <w:vertAlign w:val="superscript"/>
        </w:rPr>
        <w:footnoteReference w:id="18"/>
      </w:r>
      <w:r>
        <w:rPr>
          <w:rFonts w:ascii="Times New Roman" w:hAnsi="Times New Roman"/>
          <w:noProof/>
          <w:color w:val="000000"/>
          <w:sz w:val="24"/>
        </w:rPr>
        <w:t xml:space="preserve"> съгласно ДЕП. Но тъй като твърдата биомаса продължава да има преобладаващо най-голям принос (82 %) за п</w:t>
      </w:r>
      <w:r>
        <w:rPr>
          <w:rFonts w:ascii="Times New Roman" w:hAnsi="Times New Roman"/>
          <w:noProof/>
          <w:color w:val="000000"/>
          <w:sz w:val="24"/>
        </w:rPr>
        <w:t>роизводството на топлинна енергия от възобновяеми източници</w:t>
      </w:r>
      <w:r>
        <w:rPr>
          <w:rFonts w:ascii="Times New Roman" w:hAnsi="Times New Roman"/>
          <w:noProof/>
          <w:color w:val="000000"/>
          <w:sz w:val="24"/>
          <w:vertAlign w:val="superscript"/>
        </w:rPr>
        <w:footnoteReference w:id="19"/>
      </w:r>
      <w:r>
        <w:rPr>
          <w:rFonts w:ascii="Times New Roman" w:hAnsi="Times New Roman"/>
          <w:noProof/>
          <w:color w:val="000000"/>
          <w:sz w:val="24"/>
        </w:rPr>
        <w:t xml:space="preserve"> и енергията от биомаса ще продължава да има значителен дял в микса на енергията от възобновяеми източници в ЕС</w:t>
      </w:r>
      <w:r>
        <w:rPr>
          <w:rFonts w:ascii="Times New Roman" w:hAnsi="Times New Roman"/>
          <w:noProof/>
          <w:color w:val="000000"/>
          <w:sz w:val="24"/>
          <w:vertAlign w:val="superscript"/>
        </w:rPr>
        <w:footnoteReference w:id="20"/>
      </w:r>
      <w:r>
        <w:rPr>
          <w:rFonts w:ascii="Times New Roman" w:hAnsi="Times New Roman"/>
          <w:noProof/>
          <w:color w:val="000000"/>
          <w:sz w:val="24"/>
        </w:rPr>
        <w:t xml:space="preserve">, ефектът от подобренията в контрола върху емисиите може до известна степен да бъде </w:t>
      </w:r>
      <w:r>
        <w:rPr>
          <w:rFonts w:ascii="Times New Roman" w:hAnsi="Times New Roman"/>
          <w:noProof/>
          <w:color w:val="000000"/>
          <w:sz w:val="24"/>
        </w:rPr>
        <w:t>намален от увеличението на броя на източниците на емисии.</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Все още са необходими много повече усилия за да се гарантира, че превишаването на пределно допустимите стойности ще бъде възможно най-малко. Понастоящем срещу държавите членки са открити 30 процедур</w:t>
      </w:r>
      <w:r>
        <w:rPr>
          <w:rFonts w:ascii="Times New Roman" w:hAnsi="Times New Roman"/>
          <w:noProof/>
          <w:sz w:val="24"/>
        </w:rPr>
        <w:t>и за нарушение във връзка с Директива 2008/50/ЕО, от които 16 за превишаване на пределно допустимите стойности на PM</w:t>
      </w:r>
      <w:r>
        <w:rPr>
          <w:rFonts w:ascii="Times New Roman" w:hAnsi="Times New Roman"/>
          <w:noProof/>
          <w:sz w:val="24"/>
          <w:vertAlign w:val="subscript"/>
        </w:rPr>
        <w:t>10</w:t>
      </w:r>
      <w:r>
        <w:rPr>
          <w:rFonts w:ascii="Times New Roman" w:hAnsi="Times New Roman"/>
          <w:noProof/>
          <w:sz w:val="24"/>
        </w:rPr>
        <w:t>, 13 за превишаване на пределно допустимите стойности за NO</w:t>
      </w:r>
      <w:r>
        <w:rPr>
          <w:rFonts w:ascii="Times New Roman" w:hAnsi="Times New Roman"/>
          <w:noProof/>
          <w:sz w:val="24"/>
          <w:vertAlign w:val="subscript"/>
        </w:rPr>
        <w:t>2</w:t>
      </w:r>
      <w:r>
        <w:rPr>
          <w:rFonts w:ascii="Times New Roman" w:hAnsi="Times New Roman"/>
          <w:noProof/>
          <w:sz w:val="24"/>
        </w:rPr>
        <w:t xml:space="preserve"> и една за превишаване на пределно допустимите стойности за SO</w:t>
      </w:r>
      <w:r>
        <w:rPr>
          <w:rFonts w:ascii="Times New Roman" w:hAnsi="Times New Roman"/>
          <w:noProof/>
          <w:sz w:val="24"/>
          <w:vertAlign w:val="subscript"/>
        </w:rPr>
        <w:t>2</w:t>
      </w:r>
      <w:r>
        <w:rPr>
          <w:rFonts w:ascii="Times New Roman" w:hAnsi="Times New Roman"/>
          <w:noProof/>
          <w:sz w:val="24"/>
        </w:rPr>
        <w:t xml:space="preserve">. </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Държавите чл</w:t>
      </w:r>
      <w:r>
        <w:rPr>
          <w:rFonts w:ascii="Times New Roman" w:hAnsi="Times New Roman"/>
          <w:noProof/>
          <w:sz w:val="24"/>
        </w:rPr>
        <w:t>енки получават също така значителна финансова подкрепа от ЕС за финансиране на мерките за контрол на замърсяването на въздуха (вж. раздел </w:t>
      </w:r>
      <w:r>
        <w:rPr>
          <w:rFonts w:ascii="Times New Roman" w:eastAsia="Times New Roman" w:hAnsi="Times New Roman" w:cs="Times New Roman"/>
          <w:noProof/>
          <w:sz w:val="24"/>
          <w:szCs w:val="20"/>
        </w:rPr>
        <w:t>3.2.5</w:t>
      </w:r>
      <w:r>
        <w:rPr>
          <w:rFonts w:ascii="Times New Roman" w:hAnsi="Times New Roman"/>
          <w:noProof/>
          <w:sz w:val="24"/>
        </w:rPr>
        <w:t>).  В по-широкия контекст на прегледа на Европейската комисия на изпълнението на политиките в областта на околнат</w:t>
      </w:r>
      <w:r>
        <w:rPr>
          <w:rFonts w:ascii="Times New Roman" w:hAnsi="Times New Roman"/>
          <w:noProof/>
          <w:sz w:val="24"/>
        </w:rPr>
        <w:t>а среда</w:t>
      </w:r>
      <w:r>
        <w:rPr>
          <w:rFonts w:ascii="Times New Roman" w:hAnsi="Times New Roman"/>
          <w:noProof/>
          <w:sz w:val="24"/>
          <w:vertAlign w:val="superscript"/>
        </w:rPr>
        <w:footnoteReference w:id="21"/>
      </w:r>
      <w:r>
        <w:rPr>
          <w:rFonts w:ascii="Times New Roman" w:hAnsi="Times New Roman"/>
          <w:noProof/>
          <w:sz w:val="24"/>
        </w:rPr>
        <w:t>, Европейската комисия провежда диалози за чистия въздух</w:t>
      </w:r>
      <w:r>
        <w:rPr>
          <w:rFonts w:ascii="Times New Roman" w:hAnsi="Times New Roman"/>
          <w:noProof/>
          <w:sz w:val="24"/>
          <w:vertAlign w:val="superscript"/>
        </w:rPr>
        <w:footnoteReference w:id="22"/>
      </w:r>
      <w:r>
        <w:rPr>
          <w:rFonts w:ascii="Times New Roman" w:hAnsi="Times New Roman"/>
          <w:noProof/>
          <w:sz w:val="24"/>
        </w:rPr>
        <w:t xml:space="preserve"> с държавите членки, за да разбере по-добре националните подходи за изпълнение на мерките, да споделя опит относно някои решения, да насърчава полезните взаимодействия между политиките и да п</w:t>
      </w:r>
      <w:r>
        <w:rPr>
          <w:rFonts w:ascii="Times New Roman" w:hAnsi="Times New Roman"/>
          <w:noProof/>
          <w:sz w:val="24"/>
        </w:rPr>
        <w:t>осочва области, в които може да се използва финансиране от ЕС. Диалозите се оказаха особено успешни при насърчаването на действия, включващи всички съответни министерства и заинтересовани страни.</w:t>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Проверка за пригодност на директивите за качеството на атмос</w:t>
      </w:r>
      <w:r>
        <w:rPr>
          <w:rFonts w:ascii="Times New Roman" w:hAnsi="Times New Roman"/>
          <w:b/>
          <w:noProof/>
          <w:sz w:val="24"/>
        </w:rPr>
        <w:t>ферния въздух</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Програмата за чист въздух от 2013 г. е направено заключението, че към онзи момент не е било подходящо да се преразглеждат Директива 2088/50 ЕС и Директива 2004/107/ЕС относно качеството на въздуха, като е изтъкната необходимостта да се гара</w:t>
      </w:r>
      <w:r>
        <w:rPr>
          <w:rFonts w:ascii="Times New Roman" w:hAnsi="Times New Roman"/>
          <w:noProof/>
          <w:sz w:val="24"/>
        </w:rPr>
        <w:t>нтира съответствие със съществуващите стандарти и да бъдат намалени на емисиите чрез прилагане на Директивата относно НТЕ.</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През 2017 г. Европейската комисия започна проверка за пригодност, за да провери изпълнението на директивите относно качеството на атм</w:t>
      </w:r>
      <w:r>
        <w:rPr>
          <w:rFonts w:ascii="Times New Roman" w:hAnsi="Times New Roman"/>
          <w:noProof/>
          <w:sz w:val="24"/>
        </w:rPr>
        <w:t>осферния въздух. Тя е в основата на анализа, на който се основава Програмата за чист въздух, и ще използва опита във всички държави членки, като вниманието е насочено към периода 2008—2018 г. При проверката ще се направи преглед на целесъобразността на вси</w:t>
      </w:r>
      <w:r>
        <w:rPr>
          <w:rFonts w:ascii="Times New Roman" w:hAnsi="Times New Roman"/>
          <w:noProof/>
          <w:sz w:val="24"/>
        </w:rPr>
        <w:t>чки разпоредби на директивите, и по-специално методите за мониторинг и оценка, стандартите за качество на въздуха, разпоредбите относно публичната информация и степента, в която директивите улесняват действията за предотвратяване или намаляване на неблагоп</w:t>
      </w:r>
      <w:r>
        <w:rPr>
          <w:rFonts w:ascii="Times New Roman" w:hAnsi="Times New Roman"/>
          <w:noProof/>
          <w:sz w:val="24"/>
        </w:rPr>
        <w:t>риятните въздействия.</w:t>
      </w:r>
    </w:p>
    <w:p w:rsidR="006E4266" w:rsidRDefault="00E5607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Ще бъдат разгледани и административните разходи, припокриванията и/или полезните взаимодействия, празнотите, несъответствията и/или потенциално остарелите мерки, както и съгласуването на управлението във връзка с качеството на въздуха</w:t>
      </w:r>
      <w:r>
        <w:rPr>
          <w:rFonts w:ascii="Times New Roman" w:hAnsi="Times New Roman"/>
          <w:noProof/>
          <w:sz w:val="24"/>
        </w:rPr>
        <w:t xml:space="preserve"> между ЕС, държава членка, областни и местни власти. Съгласно текущото планиране проверката за пригодност ще приключи през 2019 г.</w:t>
      </w:r>
    </w:p>
    <w:p w:rsidR="006E4266" w:rsidRDefault="00E56073">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 xml:space="preserve">Прилагане на новата директива относно национални тавани за емисиите (НТЕ) и на допълнителното законодателство за намаляване </w:t>
      </w:r>
      <w:r>
        <w:rPr>
          <w:rFonts w:ascii="Times New Roman" w:hAnsi="Times New Roman"/>
          <w:b/>
          <w:smallCaps/>
          <w:noProof/>
          <w:sz w:val="24"/>
        </w:rPr>
        <w:t>на емисиите при източника</w:t>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bookmarkStart w:id="5" w:name="_Ref496622083"/>
      <w:r>
        <w:rPr>
          <w:rFonts w:ascii="Times New Roman" w:hAnsi="Times New Roman"/>
          <w:b/>
          <w:noProof/>
          <w:sz w:val="24"/>
        </w:rPr>
        <w:t>Цели, свързани със здравето и екосистемите</w:t>
      </w:r>
      <w:bookmarkEnd w:id="5"/>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Определените в Програмата за чист въздух цели се основават на намаленията, посочени в предложението на Европейската комисия</w:t>
      </w:r>
      <w:r>
        <w:rPr>
          <w:rFonts w:ascii="Times New Roman" w:hAnsi="Times New Roman"/>
          <w:noProof/>
          <w:sz w:val="24"/>
        </w:rPr>
        <w:footnoteReference w:id="23"/>
      </w:r>
      <w:r>
        <w:rPr>
          <w:rFonts w:ascii="Times New Roman" w:hAnsi="Times New Roman"/>
          <w:noProof/>
          <w:sz w:val="24"/>
        </w:rPr>
        <w:t xml:space="preserve"> за Директивата относно НТЕ. След като директивата вече е в сил</w:t>
      </w:r>
      <w:r>
        <w:rPr>
          <w:rFonts w:ascii="Times New Roman" w:hAnsi="Times New Roman"/>
          <w:noProof/>
          <w:sz w:val="24"/>
        </w:rPr>
        <w:t>а (считано от 31 декември 2016 г.) и е прието допълнително законодателство за намаляване на емисиите при източника (т.е. мерки, регулиращи специфични източници на замърсяване като превозни средства, печки, промишлени инсталации) в периода след Програмата з</w:t>
      </w:r>
      <w:r>
        <w:rPr>
          <w:rFonts w:ascii="Times New Roman" w:hAnsi="Times New Roman"/>
          <w:noProof/>
          <w:sz w:val="24"/>
        </w:rPr>
        <w:t xml:space="preserve">а чист въздух от 2013 г., тези стойности могат да бъдат актуализирани, както е посочено по-долу в таблица 1. </w:t>
      </w:r>
    </w:p>
    <w:p w:rsidR="006E4266" w:rsidRDefault="00E56073">
      <w:pPr>
        <w:keepNext/>
        <w:spacing w:after="120" w:line="240" w:lineRule="auto"/>
        <w:jc w:val="both"/>
        <w:rPr>
          <w:rFonts w:ascii="Times New Roman" w:eastAsia="Times New Roman" w:hAnsi="Times New Roman" w:cs="Times New Roman"/>
          <w:b/>
          <w:noProof/>
        </w:rPr>
      </w:pPr>
      <w:r>
        <w:rPr>
          <w:rFonts w:ascii="Times New Roman" w:hAnsi="Times New Roman"/>
          <w:b/>
          <w:noProof/>
        </w:rPr>
        <w:t xml:space="preserve">Таблица 1: Прогнозирани за 2030 г. ползи от политиката за качество на въздуха от Директивата относно НТЕ и цялото законодателство за намаляване на емисиите при източника, прието след 2014 г., съпоставени с предложенията в Програмата за чист въздух (спрямо </w:t>
      </w:r>
      <w:r>
        <w:rPr>
          <w:rFonts w:ascii="Times New Roman" w:hAnsi="Times New Roman"/>
          <w:b/>
          <w:noProof/>
        </w:rPr>
        <w:t xml:space="preserve">2005 г. — базовата година)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7"/>
      </w:tblGrid>
      <w:tr w:rsidR="006E4266">
        <w:tc>
          <w:tcPr>
            <w:tcW w:w="3096" w:type="dxa"/>
            <w:tcBorders>
              <w:bottom w:val="single" w:sz="12" w:space="0" w:color="auto"/>
            </w:tcBorders>
            <w:shd w:val="clear" w:color="auto" w:fill="auto"/>
          </w:tcPr>
          <w:p w:rsidR="006E4266" w:rsidRDefault="006E4266">
            <w:pPr>
              <w:spacing w:before="120" w:after="120" w:line="240" w:lineRule="auto"/>
              <w:jc w:val="center"/>
              <w:rPr>
                <w:rFonts w:ascii="Times New Roman" w:eastAsia="Times New Roman" w:hAnsi="Times New Roman" w:cs="Times New Roman"/>
                <w:noProof/>
                <w:sz w:val="24"/>
                <w:szCs w:val="20"/>
                <w:highlight w:val="yellow"/>
              </w:rPr>
            </w:pPr>
          </w:p>
        </w:tc>
        <w:tc>
          <w:tcPr>
            <w:tcW w:w="3096" w:type="dxa"/>
            <w:tcBorders>
              <w:bottom w:val="single" w:sz="12" w:space="0" w:color="auto"/>
            </w:tcBorders>
            <w:shd w:val="clear" w:color="auto" w:fill="auto"/>
          </w:tcPr>
          <w:p w:rsidR="006E4266" w:rsidRDefault="00E56073">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rPr>
              <w:t>Очаквано намаление на отрицателното въздействие върху здравето в сравнение с 2005 г.</w:t>
            </w:r>
            <w:r>
              <w:rPr>
                <w:rFonts w:ascii="Times New Roman" w:eastAsia="Times New Roman" w:hAnsi="Times New Roman" w:cs="Times New Roman"/>
                <w:noProof/>
                <w:szCs w:val="20"/>
              </w:rPr>
              <w:br/>
            </w:r>
            <w:r>
              <w:rPr>
                <w:rFonts w:ascii="Times New Roman" w:hAnsi="Times New Roman"/>
                <w:noProof/>
              </w:rPr>
              <w:t>(преждевременна смъртност, дължаща се на праховите частици и озона)</w:t>
            </w:r>
          </w:p>
        </w:tc>
        <w:tc>
          <w:tcPr>
            <w:tcW w:w="3097" w:type="dxa"/>
            <w:tcBorders>
              <w:bottom w:val="single" w:sz="12" w:space="0" w:color="auto"/>
            </w:tcBorders>
            <w:shd w:val="clear" w:color="auto" w:fill="auto"/>
          </w:tcPr>
          <w:p w:rsidR="006E4266" w:rsidRDefault="00E56073">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rPr>
              <w:t>Очаквано намаление на въздействието в екосистемите, където са превишени пр</w:t>
            </w:r>
            <w:r>
              <w:rPr>
                <w:rFonts w:ascii="Times New Roman" w:hAnsi="Times New Roman"/>
                <w:noProof/>
              </w:rPr>
              <w:t>еделно допустимите стойности по отношение на еутрофикация, в сравнение с 2005 г.</w:t>
            </w:r>
          </w:p>
        </w:tc>
      </w:tr>
      <w:tr w:rsidR="006E4266">
        <w:tc>
          <w:tcPr>
            <w:tcW w:w="3096" w:type="dxa"/>
            <w:tcBorders>
              <w:top w:val="single" w:sz="12" w:space="0" w:color="auto"/>
            </w:tcBorders>
            <w:shd w:val="clear" w:color="auto" w:fill="auto"/>
          </w:tcPr>
          <w:p w:rsidR="006E4266" w:rsidRDefault="00E56073">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rPr>
              <w:t>„Програма за чист въздух за Европа“ (декември 2013 г.), като се използва базовият сценарий, който не включва законодателството за намаляване на емисиите при източника, прието</w:t>
            </w:r>
            <w:r>
              <w:rPr>
                <w:rFonts w:ascii="Times New Roman" w:hAnsi="Times New Roman"/>
                <w:noProof/>
              </w:rPr>
              <w:t xml:space="preserve"> след 2014 г.</w:t>
            </w:r>
          </w:p>
        </w:tc>
        <w:tc>
          <w:tcPr>
            <w:tcW w:w="3096" w:type="dxa"/>
            <w:tcBorders>
              <w:top w:val="single" w:sz="12" w:space="0" w:color="auto"/>
            </w:tcBorders>
            <w:shd w:val="clear" w:color="auto" w:fill="auto"/>
            <w:vAlign w:val="center"/>
          </w:tcPr>
          <w:p w:rsidR="006E4266" w:rsidRDefault="00E56073">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52%</w:t>
            </w:r>
          </w:p>
        </w:tc>
        <w:tc>
          <w:tcPr>
            <w:tcW w:w="3097" w:type="dxa"/>
            <w:tcBorders>
              <w:top w:val="single" w:sz="12" w:space="0" w:color="auto"/>
            </w:tcBorders>
            <w:shd w:val="clear" w:color="auto" w:fill="auto"/>
            <w:vAlign w:val="center"/>
          </w:tcPr>
          <w:p w:rsidR="006E4266" w:rsidRDefault="00E56073">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35%</w:t>
            </w:r>
          </w:p>
        </w:tc>
      </w:tr>
      <w:tr w:rsidR="006E4266">
        <w:tc>
          <w:tcPr>
            <w:tcW w:w="3096" w:type="dxa"/>
            <w:shd w:val="clear" w:color="auto" w:fill="auto"/>
          </w:tcPr>
          <w:p w:rsidR="006E4266" w:rsidRDefault="00E56073">
            <w:pPr>
              <w:spacing w:before="120" w:after="120" w:line="240" w:lineRule="auto"/>
              <w:jc w:val="center"/>
              <w:rPr>
                <w:rFonts w:ascii="Times New Roman" w:eastAsia="Times New Roman" w:hAnsi="Times New Roman" w:cs="Times New Roman"/>
                <w:noProof/>
                <w:szCs w:val="20"/>
              </w:rPr>
            </w:pPr>
            <w:r>
              <w:rPr>
                <w:rFonts w:ascii="Times New Roman" w:hAnsi="Times New Roman"/>
                <w:noProof/>
              </w:rPr>
              <w:t>Въздействие на Директивата относно НТЕ, изчислено към момента на приемането ѝ през декември 2016 г., като се използва посоченият по-горе базов сценарий</w:t>
            </w:r>
          </w:p>
        </w:tc>
        <w:tc>
          <w:tcPr>
            <w:tcW w:w="3096" w:type="dxa"/>
            <w:shd w:val="clear" w:color="auto" w:fill="auto"/>
            <w:vAlign w:val="center"/>
          </w:tcPr>
          <w:p w:rsidR="006E4266" w:rsidRDefault="00E56073">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49,6%</w:t>
            </w:r>
          </w:p>
        </w:tc>
        <w:tc>
          <w:tcPr>
            <w:tcW w:w="3097" w:type="dxa"/>
            <w:shd w:val="clear" w:color="auto" w:fill="auto"/>
            <w:vAlign w:val="center"/>
          </w:tcPr>
          <w:p w:rsidR="006E4266" w:rsidRDefault="00E56073">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w:t>
            </w:r>
          </w:p>
        </w:tc>
      </w:tr>
      <w:tr w:rsidR="006E4266">
        <w:tc>
          <w:tcPr>
            <w:tcW w:w="3096" w:type="dxa"/>
            <w:shd w:val="clear" w:color="auto" w:fill="auto"/>
          </w:tcPr>
          <w:p w:rsidR="006E4266" w:rsidRDefault="00E56073">
            <w:pPr>
              <w:spacing w:before="120" w:after="120" w:line="240" w:lineRule="auto"/>
              <w:jc w:val="center"/>
              <w:rPr>
                <w:rFonts w:ascii="Times New Roman" w:eastAsia="Times New Roman" w:hAnsi="Times New Roman" w:cs="Times New Roman"/>
                <w:b/>
                <w:noProof/>
                <w:szCs w:val="20"/>
              </w:rPr>
            </w:pPr>
            <w:r>
              <w:rPr>
                <w:rFonts w:ascii="Times New Roman" w:hAnsi="Times New Roman"/>
                <w:b/>
                <w:noProof/>
              </w:rPr>
              <w:t xml:space="preserve">Въздействие на Директивата относно НТЕ, като се използва базовият </w:t>
            </w:r>
            <w:r>
              <w:rPr>
                <w:rFonts w:ascii="Times New Roman" w:hAnsi="Times New Roman"/>
                <w:b/>
                <w:noProof/>
              </w:rPr>
              <w:t>сценарий, който включва въздействието на законодателството за намаляване на емисиите при източника, прието след 2014 г.</w:t>
            </w:r>
          </w:p>
        </w:tc>
        <w:tc>
          <w:tcPr>
            <w:tcW w:w="3096" w:type="dxa"/>
            <w:shd w:val="clear" w:color="auto" w:fill="auto"/>
            <w:vAlign w:val="center"/>
          </w:tcPr>
          <w:p w:rsidR="006E4266" w:rsidRDefault="00E56073">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rPr>
              <w:t>54%</w:t>
            </w:r>
          </w:p>
        </w:tc>
        <w:tc>
          <w:tcPr>
            <w:tcW w:w="3097" w:type="dxa"/>
            <w:shd w:val="clear" w:color="auto" w:fill="auto"/>
            <w:vAlign w:val="center"/>
          </w:tcPr>
          <w:p w:rsidR="006E4266" w:rsidRDefault="00E56073">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rPr>
              <w:t>27%</w:t>
            </w:r>
          </w:p>
        </w:tc>
      </w:tr>
    </w:tbl>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Необходими са някои обяснения, по-специално във връзка с изчисленото намаление с 54 % на въздействието върху здравето, докато </w:t>
      </w:r>
      <w:r>
        <w:rPr>
          <w:rFonts w:ascii="Times New Roman" w:hAnsi="Times New Roman"/>
          <w:noProof/>
          <w:sz w:val="24"/>
        </w:rPr>
        <w:t>очакваното въздействие (към момента на приемането) бе малко под 50 %.  Това се дължи на два фактора.</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Първият фактор е ефектът от приетото след 2014 г. специално допълнително законодателство за намаляване на емисиите при източника. Контролът върху емисиите </w:t>
      </w:r>
      <w:r>
        <w:rPr>
          <w:rFonts w:ascii="Times New Roman" w:hAnsi="Times New Roman"/>
          <w:noProof/>
          <w:sz w:val="24"/>
        </w:rPr>
        <w:t>съгласно Директивата относно СГИ от 2015 г. ще се прилага за всички нови горивни инсталации, считано от 20 декември 2018 г., и за съществуващите инсталации от 2025 г. или 2030 г. (в зависимост от техния размер). Изискванията от 2015 г. за екопроектиране ще</w:t>
      </w:r>
      <w:r>
        <w:rPr>
          <w:rFonts w:ascii="Times New Roman" w:hAnsi="Times New Roman"/>
          <w:noProof/>
          <w:sz w:val="24"/>
        </w:rPr>
        <w:t xml:space="preserve"> се прилагат за нови котли на твърдо гориво, които ще се продават на пазара от 1 януари 2020 г., и нови печки на твърдо гориво, които ще се продават от 1 януари 2022 г. Регламентът относно извънпътната подвижна техника от 2016 г. (NRMM)</w:t>
      </w:r>
      <w:r>
        <w:rPr>
          <w:rFonts w:ascii="Times New Roman" w:hAnsi="Times New Roman"/>
          <w:noProof/>
          <w:sz w:val="24"/>
          <w:vertAlign w:val="superscript"/>
        </w:rPr>
        <w:footnoteReference w:id="24"/>
      </w:r>
      <w:r>
        <w:rPr>
          <w:rFonts w:ascii="Times New Roman" w:hAnsi="Times New Roman"/>
          <w:noProof/>
          <w:sz w:val="24"/>
        </w:rPr>
        <w:t xml:space="preserve"> ще се прилага за д</w:t>
      </w:r>
      <w:r>
        <w:rPr>
          <w:rFonts w:ascii="Times New Roman" w:hAnsi="Times New Roman"/>
          <w:noProof/>
          <w:sz w:val="24"/>
        </w:rPr>
        <w:t>вигатели, пускани на пазара от 1 януари 2019 г., 2020 г. или 2021 г., в зависимост от класа на двигателя.  Заключенията за НДНТ за големи горивни инсталации от 2017 г. ще се прилагат за нови инсталации от 17 август 2017 г., а за всички съществуващи инстала</w:t>
      </w:r>
      <w:r>
        <w:rPr>
          <w:rFonts w:ascii="Times New Roman" w:hAnsi="Times New Roman"/>
          <w:noProof/>
          <w:sz w:val="24"/>
        </w:rPr>
        <w:t>ции — до 17 август 2021 г. В пакета за чист въздух от 2013 г. е изтъкнат потенциалният принос в резултат на прилагането на тези инициативи до 2030 г. и в анализа са включени окончателните версии на нормативните актове. Комбинираната оценка на всички тези м</w:t>
      </w:r>
      <w:r>
        <w:rPr>
          <w:rFonts w:ascii="Times New Roman" w:hAnsi="Times New Roman"/>
          <w:noProof/>
          <w:sz w:val="24"/>
        </w:rPr>
        <w:t>ерки дава възможност да се заключи, че очакваните намаления до 2030 г. в действителност ще са по-големи от изчислените към момента на приемане на Директивата относно НТЕ, при условие че се осигури пълно спазване на всички съответни правни изисквания.</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Втори</w:t>
      </w:r>
      <w:r>
        <w:rPr>
          <w:rFonts w:ascii="Times New Roman" w:hAnsi="Times New Roman"/>
          <w:noProof/>
          <w:sz w:val="24"/>
        </w:rPr>
        <w:t>ят фактор е свързан със случаите, при които въвеждането на мерки за намаляване на емисиите от един замърсител води до съпътстващи ползи по отношение на други замърсители (т.нар. „мерки, осигуряващи комбиниран контрол на няколко вида емисии“). Пример за тов</w:t>
      </w:r>
      <w:r>
        <w:rPr>
          <w:rFonts w:ascii="Times New Roman" w:hAnsi="Times New Roman"/>
          <w:noProof/>
          <w:sz w:val="24"/>
        </w:rPr>
        <w:t>а е контролът върху изгарянето на определени видове селскостопански отпадъци съгласно Общата селскостопанска политика</w:t>
      </w:r>
      <w:r>
        <w:rPr>
          <w:rFonts w:ascii="Times New Roman" w:hAnsi="Times New Roman"/>
          <w:noProof/>
          <w:sz w:val="24"/>
        </w:rPr>
        <w:footnoteReference w:id="25"/>
      </w:r>
      <w:r>
        <w:rPr>
          <w:rFonts w:ascii="Times New Roman" w:hAnsi="Times New Roman"/>
          <w:noProof/>
          <w:sz w:val="24"/>
        </w:rPr>
        <w:t xml:space="preserve"> и приложение III от Директивата относно НТЕ, който е свързан с необходимостта да бъде постигнато намаление на емисиите на NH</w:t>
      </w:r>
      <w:r>
        <w:rPr>
          <w:rFonts w:ascii="Times New Roman" w:hAnsi="Times New Roman"/>
          <w:noProof/>
          <w:sz w:val="24"/>
          <w:vertAlign w:val="subscript"/>
        </w:rPr>
        <w:t>3</w:t>
      </w:r>
      <w:r>
        <w:rPr>
          <w:rFonts w:ascii="Times New Roman" w:hAnsi="Times New Roman"/>
          <w:noProof/>
          <w:sz w:val="24"/>
        </w:rPr>
        <w:t>, но чрез ко</w:t>
      </w:r>
      <w:r>
        <w:rPr>
          <w:rFonts w:ascii="Times New Roman" w:hAnsi="Times New Roman"/>
          <w:noProof/>
          <w:sz w:val="24"/>
        </w:rPr>
        <w:t xml:space="preserve">йто се намаляват също емисиите на прахови частици и ЛОС. В много случаи тези полезни взаимодействия водят до икономии на разходи, а в други случаи водят преди всичко до допълнителни ползи за здравето. Въздействието на този фактор ще зависи от съчетаването </w:t>
      </w:r>
      <w:r>
        <w:rPr>
          <w:rFonts w:ascii="Times New Roman" w:hAnsi="Times New Roman"/>
          <w:noProof/>
          <w:sz w:val="24"/>
        </w:rPr>
        <w:t>на избраните на практика мерки от държавите членки.</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Тези въздействия обаче не играят същата роля по отношение на еутрофикацията. Действително нито един от допълнителните нормативни актове от законодателството на ЕС за намаляване на емисиите при източника, </w:t>
      </w:r>
      <w:r>
        <w:rPr>
          <w:rFonts w:ascii="Times New Roman" w:hAnsi="Times New Roman"/>
          <w:noProof/>
          <w:sz w:val="24"/>
        </w:rPr>
        <w:t>приети след 2014 г., не засяга NH</w:t>
      </w:r>
      <w:r>
        <w:rPr>
          <w:rFonts w:ascii="Times New Roman" w:hAnsi="Times New Roman"/>
          <w:noProof/>
          <w:sz w:val="24"/>
          <w:vertAlign w:val="subscript"/>
        </w:rPr>
        <w:t>3</w:t>
      </w:r>
      <w:r>
        <w:rPr>
          <w:rFonts w:ascii="Times New Roman" w:hAnsi="Times New Roman"/>
          <w:noProof/>
          <w:sz w:val="24"/>
        </w:rPr>
        <w:t>, а съпътстващите ползи от контрола на други замърсители са ограничени. При тази ситуация облекчаването на изискванията за намаляване на емисиите на NH</w:t>
      </w:r>
      <w:r>
        <w:rPr>
          <w:rFonts w:ascii="Times New Roman" w:hAnsi="Times New Roman"/>
          <w:noProof/>
          <w:sz w:val="24"/>
          <w:vertAlign w:val="subscript"/>
        </w:rPr>
        <w:t>3</w:t>
      </w:r>
      <w:r>
        <w:rPr>
          <w:rFonts w:ascii="Times New Roman" w:hAnsi="Times New Roman"/>
          <w:noProof/>
          <w:sz w:val="24"/>
        </w:rPr>
        <w:t xml:space="preserve">  в приетата Директива за НТЕ в сравнение с предложението на Европейск</w:t>
      </w:r>
      <w:r>
        <w:rPr>
          <w:rFonts w:ascii="Times New Roman" w:hAnsi="Times New Roman"/>
          <w:noProof/>
          <w:sz w:val="24"/>
        </w:rPr>
        <w:t>ата комисия (предложеното 25-процентното намаление бе заменено с 19-процентно) до голяма степен води до пропорционален спад на екосистемните подобрения, дължащи се на намаление на емисиите.</w:t>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Изпълнение на задълженията за намаляване на емисиите съгласно Дире</w:t>
      </w:r>
      <w:r>
        <w:rPr>
          <w:rFonts w:ascii="Times New Roman" w:hAnsi="Times New Roman"/>
          <w:b/>
          <w:noProof/>
          <w:sz w:val="24"/>
        </w:rPr>
        <w:t>ктивата относно НТЕ за 2020 г. и 2030 г.</w:t>
      </w:r>
    </w:p>
    <w:p w:rsidR="006E4266" w:rsidRDefault="00E56073">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Изпълнение на задълженията за намаляване на емисиите за 2020 г.</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Оценката на въздействието от 2013 г. се прогнозира, че задълженията за намаляване на емисиите на ЕС за 2020 г. (определени след преразглеждането през</w:t>
      </w:r>
      <w:r>
        <w:rPr>
          <w:rFonts w:ascii="Times New Roman" w:hAnsi="Times New Roman"/>
          <w:noProof/>
          <w:sz w:val="24"/>
        </w:rPr>
        <w:t xml:space="preserve"> 2012 г. на Протокола от Гьотеборг) биха се постигнали посредством законодателството на ЕС, което вече е в сила към онзи момент. Това се потвърждава на равнището на ЕС от актуализирания анализ, но резултатите за отделните държави членки могат да са различн</w:t>
      </w:r>
      <w:r>
        <w:rPr>
          <w:rFonts w:ascii="Times New Roman" w:hAnsi="Times New Roman"/>
          <w:noProof/>
          <w:sz w:val="24"/>
        </w:rPr>
        <w:t>и и в зависимост от националните обстоятелства е възможно да са необходими допълнителни действия за да се осигури постигането на съответствие.</w:t>
      </w:r>
    </w:p>
    <w:p w:rsidR="006E4266" w:rsidRDefault="00E56073">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6" w:name="_Ref496879435"/>
      <w:r>
        <w:rPr>
          <w:rFonts w:ascii="Times New Roman" w:hAnsi="Times New Roman"/>
          <w:i/>
          <w:noProof/>
          <w:sz w:val="24"/>
        </w:rPr>
        <w:t>Изпълнение на задълженията за намаляване на емисиите за 2030 г.</w:t>
      </w:r>
      <w:bookmarkEnd w:id="6"/>
    </w:p>
    <w:p w:rsidR="006E4266" w:rsidRDefault="00E56073">
      <w:pPr>
        <w:spacing w:before="120" w:after="120" w:line="240" w:lineRule="auto"/>
        <w:jc w:val="both"/>
        <w:rPr>
          <w:rFonts w:ascii="Times New Roman" w:hAnsi="Times New Roman"/>
          <w:noProof/>
          <w:sz w:val="24"/>
        </w:rPr>
      </w:pPr>
      <w:r>
        <w:rPr>
          <w:rFonts w:ascii="Times New Roman" w:hAnsi="Times New Roman"/>
          <w:noProof/>
          <w:sz w:val="24"/>
        </w:rPr>
        <w:t xml:space="preserve">Средствата, необходими за постигане на </w:t>
      </w:r>
      <w:r>
        <w:rPr>
          <w:rFonts w:ascii="Times New Roman" w:hAnsi="Times New Roman"/>
          <w:noProof/>
          <w:sz w:val="24"/>
        </w:rPr>
        <w:t>предвиденото за 2030 г. намаление на емисиите, са оценени в предложението на Европейската комисия за Директивата относно НТЕ на 2,2 милиарда евро</w:t>
      </w:r>
      <w:r>
        <w:rPr>
          <w:rFonts w:ascii="Times New Roman" w:hAnsi="Times New Roman"/>
          <w:noProof/>
          <w:sz w:val="24"/>
          <w:vertAlign w:val="superscript"/>
        </w:rPr>
        <w:footnoteReference w:id="26"/>
      </w:r>
      <w:r>
        <w:rPr>
          <w:rFonts w:ascii="Times New Roman" w:hAnsi="Times New Roman"/>
          <w:noProof/>
          <w:sz w:val="24"/>
        </w:rPr>
        <w:t>.  Анализът показва, че разходите за постигане на действителните нива на намаления на емисиите, предвидени в Д</w:t>
      </w:r>
      <w:r>
        <w:rPr>
          <w:rFonts w:ascii="Times New Roman" w:hAnsi="Times New Roman"/>
          <w:noProof/>
          <w:sz w:val="24"/>
        </w:rPr>
        <w:t>ирективата относно НТЕ, приета през декември 2016 г., са всъщност по-ниски, т.е. 1,8 милиарда евро. Това се дължи на облекчаването на целите за намаления на емисиите, договорени от съзаконодателите.</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Ако се вземе предвид допълнителното законодателство за на</w:t>
      </w:r>
      <w:r>
        <w:rPr>
          <w:rFonts w:ascii="Times New Roman" w:hAnsi="Times New Roman"/>
          <w:noProof/>
          <w:sz w:val="24"/>
        </w:rPr>
        <w:t>маляване на емисиите при източника, прието след 2014 г., се очаква разходите, свързани с Директивата относно НТЕ, да се понижат допълнително до 960 милиона евро (или 1,9 евро на човек годишно</w:t>
      </w:r>
      <w:r>
        <w:rPr>
          <w:rFonts w:ascii="Times New Roman" w:hAnsi="Times New Roman"/>
          <w:noProof/>
          <w:sz w:val="24"/>
          <w:vertAlign w:val="superscript"/>
        </w:rPr>
        <w:footnoteReference w:id="27"/>
      </w:r>
      <w:r>
        <w:rPr>
          <w:rFonts w:ascii="Times New Roman" w:hAnsi="Times New Roman"/>
          <w:noProof/>
          <w:sz w:val="24"/>
        </w:rPr>
        <w:t xml:space="preserve">). По-голямата част от разликата е в битовия сектор, в резултат </w:t>
      </w:r>
      <w:r>
        <w:rPr>
          <w:rFonts w:ascii="Times New Roman" w:hAnsi="Times New Roman"/>
          <w:noProof/>
          <w:sz w:val="24"/>
        </w:rPr>
        <w:t>от въвеждането на разпоредбите за екопроектиране за печки и котли на твърдо гориво.  Ако се има предвид и прогнозното въздействие на бъдещата рамка на ЕС за климата и енергетиката  за 2030 г.</w:t>
      </w:r>
      <w:r>
        <w:rPr>
          <w:rFonts w:ascii="Times New Roman" w:hAnsi="Times New Roman"/>
          <w:noProof/>
          <w:sz w:val="24"/>
        </w:rPr>
        <w:footnoteReference w:id="28"/>
      </w:r>
      <w:r>
        <w:rPr>
          <w:rFonts w:ascii="Times New Roman" w:hAnsi="Times New Roman"/>
          <w:noProof/>
          <w:sz w:val="24"/>
        </w:rPr>
        <w:t xml:space="preserve"> може да се очаква и допълнителен спад на разходите (главно в ен</w:t>
      </w:r>
      <w:r>
        <w:rPr>
          <w:rFonts w:ascii="Times New Roman" w:hAnsi="Times New Roman"/>
          <w:noProof/>
          <w:sz w:val="24"/>
        </w:rPr>
        <w:t>ергийния и промишления сектор) до 540 милиона евро (т.е. 1,05 евро на човек годишно). Очаква се ползите да превишат в голяма степен разходите, а именно да са по-големи между 14 (консервативна оценка) и 50 пъти.</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Дяловете на отделните държави членки в разход</w:t>
      </w:r>
      <w:r>
        <w:rPr>
          <w:rFonts w:ascii="Times New Roman" w:hAnsi="Times New Roman"/>
          <w:noProof/>
          <w:sz w:val="24"/>
        </w:rPr>
        <w:t xml:space="preserve">ите за изпълнение също се променят поради различни фактори, включително приноса на новото законодателство за намаляване на емисиите при източника, и промени в прогнозите за националния енергиен микс за 2030 г. (по-специално увеличено използване на въглища </w:t>
      </w:r>
      <w:r>
        <w:rPr>
          <w:rFonts w:ascii="Times New Roman" w:hAnsi="Times New Roman"/>
          <w:noProof/>
          <w:sz w:val="24"/>
        </w:rPr>
        <w:t>в някои държави членки)</w:t>
      </w:r>
      <w:r>
        <w:rPr>
          <w:rFonts w:ascii="Times New Roman" w:hAnsi="Times New Roman"/>
          <w:noProof/>
          <w:sz w:val="24"/>
        </w:rPr>
        <w:footnoteReference w:id="29"/>
      </w:r>
      <w:r>
        <w:rPr>
          <w:noProof/>
        </w:rPr>
        <w:t>.</w:t>
      </w:r>
    </w:p>
    <w:p w:rsidR="006E4266" w:rsidRDefault="00E56073">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Области, в които може да е необходимо допълнително законодателство за намаляване на емисиите при източника</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 фигура 2a по-долу е показан делът на намаленията, постигнат при: а) базовия сценарий въз основа на мерките отпреди 2014 </w:t>
      </w:r>
      <w:r>
        <w:rPr>
          <w:rFonts w:ascii="Times New Roman" w:hAnsi="Times New Roman"/>
          <w:noProof/>
          <w:sz w:val="24"/>
        </w:rPr>
        <w:t xml:space="preserve">г., б) допълнителното законодателство, прието след 2014 г., в) допълнителни мерки, необходими за изпълнение на изискванията за намаляване на емисиите </w:t>
      </w:r>
      <w:r>
        <w:rPr>
          <w:rFonts w:ascii="Times New Roman" w:hAnsi="Times New Roman"/>
          <w:noProof/>
          <w:sz w:val="24"/>
          <w:lang w:val="bg-BG"/>
        </w:rPr>
        <w:t>(ИНЕ)</w:t>
      </w:r>
      <w:r>
        <w:rPr>
          <w:rFonts w:ascii="Times New Roman" w:hAnsi="Times New Roman"/>
          <w:noProof/>
          <w:sz w:val="24"/>
        </w:rPr>
        <w:t xml:space="preserve"> съгласно Директивата относно НТЕ, и г) комбинирано въздействие на мерки за контрол на други емисии (</w:t>
      </w:r>
      <w:r>
        <w:rPr>
          <w:rFonts w:ascii="Times New Roman" w:hAnsi="Times New Roman"/>
          <w:noProof/>
          <w:sz w:val="24"/>
        </w:rPr>
        <w:t>вж. раздел </w:t>
      </w:r>
      <w:r>
        <w:rPr>
          <w:rFonts w:ascii="Times New Roman" w:eastAsia="Times New Roman" w:hAnsi="Times New Roman" w:cs="Times New Roman"/>
          <w:noProof/>
          <w:sz w:val="24"/>
          <w:szCs w:val="20"/>
        </w:rPr>
        <w:t>3.1</w:t>
      </w:r>
      <w:r>
        <w:rPr>
          <w:rFonts w:ascii="Times New Roman" w:hAnsi="Times New Roman"/>
          <w:noProof/>
          <w:sz w:val="24"/>
        </w:rPr>
        <w:t xml:space="preserve"> по-горе).  По-голямата част от съответните мерки за комбиниран контрол на няколко вида емисии са: а) забрана за изгаряне на определени видове селскостопански отпадъци, включени в приложение III към Директивата относно НТЕ (което намалява PM</w:t>
      </w:r>
      <w:r>
        <w:rPr>
          <w:rFonts w:ascii="Times New Roman" w:hAnsi="Times New Roman"/>
          <w:noProof/>
          <w:sz w:val="24"/>
          <w:vertAlign w:val="subscript"/>
        </w:rPr>
        <w:t>2</w:t>
      </w:r>
      <w:r>
        <w:rPr>
          <w:rFonts w:ascii="Times New Roman" w:hAnsi="Times New Roman"/>
          <w:noProof/>
          <w:sz w:val="24"/>
          <w:vertAlign w:val="subscript"/>
        </w:rPr>
        <w:t>.5</w:t>
      </w:r>
      <w:r>
        <w:rPr>
          <w:rFonts w:ascii="Times New Roman" w:hAnsi="Times New Roman"/>
          <w:noProof/>
          <w:sz w:val="24"/>
        </w:rPr>
        <w:t>, ЛОС, NH</w:t>
      </w:r>
      <w:r>
        <w:rPr>
          <w:rFonts w:ascii="Times New Roman" w:hAnsi="Times New Roman"/>
          <w:noProof/>
          <w:sz w:val="24"/>
          <w:vertAlign w:val="subscript"/>
        </w:rPr>
        <w:t>3</w:t>
      </w:r>
      <w:r>
        <w:rPr>
          <w:rFonts w:ascii="Times New Roman" w:hAnsi="Times New Roman"/>
          <w:noProof/>
          <w:sz w:val="24"/>
        </w:rPr>
        <w:t>, както CO и CH</w:t>
      </w:r>
      <w:r>
        <w:rPr>
          <w:rFonts w:ascii="Times New Roman" w:hAnsi="Times New Roman"/>
          <w:noProof/>
          <w:sz w:val="24"/>
          <w:vertAlign w:val="subscript"/>
        </w:rPr>
        <w:t>4</w:t>
      </w:r>
      <w:r>
        <w:rPr>
          <w:rFonts w:ascii="Times New Roman" w:hAnsi="Times New Roman"/>
          <w:noProof/>
          <w:sz w:val="24"/>
        </w:rPr>
        <w:t>); б) контрол върху емисиите от печки на дърва съгласно стандартите за екопроектиране (което намалява PM</w:t>
      </w:r>
      <w:r>
        <w:rPr>
          <w:rFonts w:ascii="Times New Roman" w:hAnsi="Times New Roman"/>
          <w:noProof/>
          <w:sz w:val="24"/>
          <w:vertAlign w:val="subscript"/>
        </w:rPr>
        <w:t>2.5</w:t>
      </w:r>
      <w:r>
        <w:rPr>
          <w:rFonts w:ascii="Times New Roman" w:hAnsi="Times New Roman"/>
          <w:noProof/>
          <w:sz w:val="24"/>
        </w:rPr>
        <w:t>, ЛОС, NO</w:t>
      </w:r>
      <w:r>
        <w:rPr>
          <w:rFonts w:ascii="Times New Roman" w:hAnsi="Times New Roman"/>
          <w:noProof/>
          <w:sz w:val="24"/>
          <w:vertAlign w:val="subscript"/>
        </w:rPr>
        <w:t>x</w:t>
      </w:r>
      <w:r>
        <w:rPr>
          <w:rFonts w:ascii="Times New Roman" w:hAnsi="Times New Roman"/>
          <w:noProof/>
          <w:sz w:val="24"/>
        </w:rPr>
        <w:t xml:space="preserve"> и NH</w:t>
      </w:r>
      <w:r>
        <w:rPr>
          <w:rFonts w:ascii="Times New Roman" w:hAnsi="Times New Roman"/>
          <w:noProof/>
          <w:sz w:val="24"/>
          <w:vertAlign w:val="subscript"/>
        </w:rPr>
        <w:t>3</w:t>
      </w:r>
      <w:r>
        <w:rPr>
          <w:rFonts w:ascii="Times New Roman" w:hAnsi="Times New Roman"/>
          <w:noProof/>
          <w:sz w:val="24"/>
        </w:rPr>
        <w:t>, както и CO и CH</w:t>
      </w:r>
      <w:r>
        <w:rPr>
          <w:rFonts w:ascii="Times New Roman" w:hAnsi="Times New Roman"/>
          <w:noProof/>
          <w:sz w:val="24"/>
          <w:vertAlign w:val="subscript"/>
        </w:rPr>
        <w:t>4</w:t>
      </w:r>
      <w:r>
        <w:rPr>
          <w:rFonts w:ascii="Times New Roman" w:hAnsi="Times New Roman"/>
          <w:noProof/>
          <w:sz w:val="24"/>
        </w:rPr>
        <w:t>), и в) контрол върху емисиите от печки на въглища, също съгласно екопроектирането (кое</w:t>
      </w:r>
      <w:r>
        <w:rPr>
          <w:rFonts w:ascii="Times New Roman" w:hAnsi="Times New Roman"/>
          <w:noProof/>
          <w:sz w:val="24"/>
        </w:rPr>
        <w:t>то намалява PM</w:t>
      </w:r>
      <w:r>
        <w:rPr>
          <w:rFonts w:ascii="Times New Roman" w:hAnsi="Times New Roman"/>
          <w:noProof/>
          <w:sz w:val="24"/>
          <w:vertAlign w:val="subscript"/>
        </w:rPr>
        <w:t>2.5</w:t>
      </w:r>
      <w:r>
        <w:rPr>
          <w:rFonts w:ascii="Times New Roman" w:hAnsi="Times New Roman"/>
          <w:noProof/>
          <w:sz w:val="24"/>
        </w:rPr>
        <w:t>, ЛОС, SO</w:t>
      </w:r>
      <w:r>
        <w:rPr>
          <w:rFonts w:ascii="Times New Roman" w:hAnsi="Times New Roman"/>
          <w:noProof/>
          <w:sz w:val="24"/>
          <w:vertAlign w:val="subscript"/>
        </w:rPr>
        <w:t>2</w:t>
      </w:r>
      <w:r>
        <w:rPr>
          <w:rFonts w:ascii="Times New Roman" w:hAnsi="Times New Roman"/>
          <w:noProof/>
          <w:sz w:val="24"/>
        </w:rPr>
        <w:t xml:space="preserve"> и NO</w:t>
      </w:r>
      <w:r>
        <w:rPr>
          <w:rFonts w:ascii="Times New Roman" w:hAnsi="Times New Roman"/>
          <w:noProof/>
          <w:sz w:val="24"/>
          <w:vertAlign w:val="subscript"/>
        </w:rPr>
        <w:t>x</w:t>
      </w:r>
      <w:r>
        <w:rPr>
          <w:rFonts w:ascii="Times New Roman" w:hAnsi="Times New Roman"/>
          <w:noProof/>
          <w:sz w:val="24"/>
        </w:rPr>
        <w:t>).</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По-общо казано, анализът потвърждава общата валидност на предприетия в първоначалното предложение подход.  Големи намаления по отношение на SO</w:t>
      </w:r>
      <w:r>
        <w:rPr>
          <w:rFonts w:ascii="Times New Roman" w:hAnsi="Times New Roman"/>
          <w:noProof/>
          <w:sz w:val="24"/>
          <w:vertAlign w:val="subscript"/>
        </w:rPr>
        <w:t>2</w:t>
      </w:r>
      <w:r>
        <w:rPr>
          <w:rFonts w:ascii="Times New Roman" w:hAnsi="Times New Roman"/>
          <w:noProof/>
          <w:sz w:val="24"/>
        </w:rPr>
        <w:t xml:space="preserve"> и NO</w:t>
      </w:r>
      <w:r>
        <w:rPr>
          <w:rFonts w:ascii="Times New Roman" w:hAnsi="Times New Roman"/>
          <w:noProof/>
          <w:sz w:val="24"/>
          <w:vertAlign w:val="subscript"/>
        </w:rPr>
        <w:t>x</w:t>
      </w:r>
      <w:r>
        <w:rPr>
          <w:rFonts w:ascii="Times New Roman" w:hAnsi="Times New Roman"/>
          <w:noProof/>
          <w:sz w:val="24"/>
        </w:rPr>
        <w:t xml:space="preserve"> се постигат чрез законодателството, което вече е било влязло в сила до 2013 г. Основният ефект от задълженията за намаляване на емисиите е да се консолидират тези намаления и да се осигури щото промените в някои дейности (например увеличено използване на </w:t>
      </w:r>
      <w:r>
        <w:rPr>
          <w:rFonts w:ascii="Times New Roman" w:hAnsi="Times New Roman"/>
          <w:noProof/>
          <w:sz w:val="24"/>
        </w:rPr>
        <w:t xml:space="preserve">въглища в някои държави членки) да не окажат влияние върху общото намаление на емисиите. Що се отнася до праховите частици и летливите органични съединения, въздействието на Директивата относно НТЕ и на допълнителното законодателство, прието след 2014 г., </w:t>
      </w:r>
      <w:r>
        <w:rPr>
          <w:rFonts w:ascii="Times New Roman" w:hAnsi="Times New Roman"/>
          <w:noProof/>
          <w:sz w:val="24"/>
        </w:rPr>
        <w:t xml:space="preserve">е значително по-голямо, което отразява по-малките намаления, постигнати чрез мерките по предходното законодателство. </w:t>
      </w:r>
    </w:p>
    <w:p w:rsidR="006E4266" w:rsidRDefault="00E56073">
      <w:pPr>
        <w:rPr>
          <w:rFonts w:ascii="Times New Roman" w:eastAsia="Times New Roman" w:hAnsi="Times New Roman" w:cs="Times New Roman"/>
          <w:noProof/>
          <w:sz w:val="24"/>
          <w:szCs w:val="20"/>
        </w:rPr>
      </w:pPr>
      <w:r>
        <w:rPr>
          <w:noProof/>
        </w:rPr>
        <w:br w:type="page"/>
      </w:r>
    </w:p>
    <w:p w:rsidR="006E4266" w:rsidRDefault="00E56073">
      <w:pPr>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2a: Приноси към изискванията за намаляване на емисиите (</w:t>
      </w:r>
      <w:r>
        <w:rPr>
          <w:rFonts w:ascii="Times New Roman" w:hAnsi="Times New Roman"/>
          <w:b/>
          <w:noProof/>
          <w:lang w:val="bg-BG"/>
        </w:rPr>
        <w:t>ИНЕ</w:t>
      </w:r>
      <w:r>
        <w:rPr>
          <w:rFonts w:ascii="Times New Roman" w:hAnsi="Times New Roman"/>
          <w:b/>
          <w:noProof/>
        </w:rPr>
        <w:t>), постигнати при: i) базовия сценарий въз основа на законодателството</w:t>
      </w:r>
      <w:r>
        <w:rPr>
          <w:rFonts w:ascii="Times New Roman" w:hAnsi="Times New Roman"/>
          <w:b/>
          <w:noProof/>
        </w:rPr>
        <w:t xml:space="preserve"> отпреди 2014 г., ii) мерки по законодателството, прието след 2014 г., iii) допълнителни мерки, необходими за изпълнение на изискванията за намаление на емисиите, и iv) комбинирано въздействие на мерки, насочени към други емисии.  SO</w:t>
      </w:r>
      <w:r>
        <w:rPr>
          <w:rFonts w:ascii="Times New Roman" w:hAnsi="Times New Roman"/>
          <w:b/>
          <w:noProof/>
          <w:vertAlign w:val="subscript"/>
        </w:rPr>
        <w:t>2</w:t>
      </w:r>
      <w:r>
        <w:rPr>
          <w:rFonts w:ascii="Times New Roman" w:hAnsi="Times New Roman"/>
          <w:b/>
          <w:noProof/>
        </w:rPr>
        <w:t>, NOx, ЛОС и PM</w:t>
      </w:r>
      <w:r>
        <w:rPr>
          <w:rFonts w:ascii="Times New Roman" w:hAnsi="Times New Roman"/>
          <w:b/>
          <w:noProof/>
          <w:vertAlign w:val="subscript"/>
        </w:rPr>
        <w:t>2,5</w:t>
      </w:r>
    </w:p>
    <w:p w:rsidR="006E4266" w:rsidRDefault="00E56073">
      <w:pPr>
        <w:spacing w:before="120" w:after="120" w:line="240" w:lineRule="auto"/>
        <w:jc w:val="both"/>
        <w:rPr>
          <w:noProof/>
          <w:lang w:val="bg-BG"/>
        </w:rPr>
      </w:pPr>
      <w:r>
        <w:rPr>
          <w:noProof/>
          <w:lang w:val="en-GB" w:eastAsia="en-GB"/>
        </w:rPr>
        <w:drawing>
          <wp:anchor distT="0" distB="0" distL="114300" distR="114300" simplePos="0" relativeHeight="251658240" behindDoc="1" locked="0" layoutInCell="1" allowOverlap="1">
            <wp:simplePos x="0" y="0"/>
            <wp:positionH relativeFrom="column">
              <wp:posOffset>2934970</wp:posOffset>
            </wp:positionH>
            <wp:positionV relativeFrom="paragraph">
              <wp:posOffset>4054475</wp:posOffset>
            </wp:positionV>
            <wp:extent cx="2904490" cy="3630295"/>
            <wp:effectExtent l="0" t="0" r="0" b="8255"/>
            <wp:wrapThrough wrapText="bothSides">
              <wp:wrapPolygon edited="0">
                <wp:start x="0" y="0"/>
                <wp:lineTo x="0" y="21536"/>
                <wp:lineTo x="21392" y="21536"/>
                <wp:lineTo x="21392"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4490" cy="3630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0"/>
        </w:rPr>
        <w:t xml:space="preserve"> </w:t>
      </w:r>
      <w:r>
        <w:rPr>
          <w:noProof/>
          <w:lang w:val="en-GB" w:eastAsia="en-GB"/>
        </w:rPr>
        <w:drawing>
          <wp:inline distT="0" distB="0" distL="0" distR="0">
            <wp:extent cx="5761355" cy="3776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3776875"/>
                    </a:xfrm>
                    <a:prstGeom prst="rect">
                      <a:avLst/>
                    </a:prstGeom>
                    <a:noFill/>
                    <a:ln>
                      <a:noFill/>
                    </a:ln>
                  </pic:spPr>
                </pic:pic>
              </a:graphicData>
            </a:graphic>
          </wp:inline>
        </w:drawing>
      </w:r>
      <w:r>
        <w:rPr>
          <w:noProof/>
        </w:rPr>
        <w:t xml:space="preserve">  </w:t>
      </w:r>
    </w:p>
    <w:p w:rsidR="006E4266" w:rsidRDefault="006E4266">
      <w:pPr>
        <w:spacing w:before="120" w:after="120" w:line="240" w:lineRule="auto"/>
        <w:jc w:val="both"/>
        <w:rPr>
          <w:noProof/>
          <w:lang w:val="bg-BG"/>
        </w:rPr>
        <w:sectPr w:rsidR="006E4266">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20" w:footer="720" w:gutter="0"/>
          <w:pgNumType w:start="1"/>
          <w:cols w:space="720"/>
          <w:docGrid w:linePitch="360"/>
        </w:sectPr>
      </w:pPr>
    </w:p>
    <w:p w:rsidR="006E4266" w:rsidRDefault="00E56073">
      <w:pPr>
        <w:spacing w:before="120" w:after="120" w:line="240" w:lineRule="auto"/>
        <w:jc w:val="both"/>
        <w:rPr>
          <w:noProof/>
          <w:lang w:val="bg-BG"/>
        </w:rPr>
      </w:pPr>
      <w:r>
        <w:rPr>
          <w:noProof/>
          <w:lang w:val="en-GB" w:eastAsia="en-GB"/>
        </w:rPr>
        <w:drawing>
          <wp:inline distT="0" distB="0" distL="0" distR="0">
            <wp:extent cx="2850776" cy="3615021"/>
            <wp:effectExtent l="0" t="0" r="698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7082" cy="3610337"/>
                    </a:xfrm>
                    <a:prstGeom prst="rect">
                      <a:avLst/>
                    </a:prstGeom>
                    <a:noFill/>
                    <a:ln>
                      <a:noFill/>
                    </a:ln>
                  </pic:spPr>
                </pic:pic>
              </a:graphicData>
            </a:graphic>
          </wp:inline>
        </w:drawing>
      </w:r>
    </w:p>
    <w:p w:rsidR="006E4266" w:rsidRDefault="006E4266">
      <w:pPr>
        <w:spacing w:before="120" w:after="120" w:line="240" w:lineRule="auto"/>
        <w:jc w:val="both"/>
        <w:rPr>
          <w:noProof/>
          <w:lang w:val="bg-BG"/>
        </w:rPr>
      </w:pPr>
    </w:p>
    <w:p w:rsidR="006E4266" w:rsidRDefault="006E4266">
      <w:pPr>
        <w:spacing w:before="120" w:after="120" w:line="240" w:lineRule="auto"/>
        <w:jc w:val="both"/>
        <w:rPr>
          <w:noProof/>
          <w:lang w:val="bg-BG"/>
        </w:rPr>
        <w:sectPr w:rsidR="006E4266">
          <w:headerReference w:type="even" r:id="rId25"/>
          <w:headerReference w:type="default" r:id="rId26"/>
          <w:footerReference w:type="even" r:id="rId27"/>
          <w:footerReference w:type="default" r:id="rId28"/>
          <w:headerReference w:type="first" r:id="rId29"/>
          <w:footerReference w:type="first" r:id="rId30"/>
          <w:type w:val="continuous"/>
          <w:pgSz w:w="11907" w:h="16839"/>
          <w:pgMar w:top="238" w:right="193" w:bottom="249" w:left="1418" w:header="720" w:footer="720" w:gutter="0"/>
          <w:pgNumType w:start="1"/>
          <w:cols w:num="2" w:space="720"/>
          <w:docGrid w:linePitch="360"/>
        </w:sectPr>
      </w:pPr>
    </w:p>
    <w:p w:rsidR="006E4266" w:rsidRDefault="00E56073">
      <w:pPr>
        <w:spacing w:before="120" w:after="120" w:line="240" w:lineRule="auto"/>
        <w:jc w:val="both"/>
        <w:rPr>
          <w:rFonts w:ascii="Times New Roman" w:eastAsia="Times New Roman" w:hAnsi="Times New Roman" w:cs="Times New Roman"/>
          <w:noProof/>
          <w:sz w:val="24"/>
          <w:szCs w:val="20"/>
          <w:lang w:val="bg-BG"/>
        </w:rPr>
      </w:pPr>
      <w:r>
        <w:rPr>
          <w:noProof/>
          <w:lang w:val="bg-BG"/>
        </w:rPr>
        <w:br w:type="page"/>
      </w:r>
      <w:r>
        <w:rPr>
          <w:rFonts w:ascii="Times New Roman" w:hAnsi="Times New Roman"/>
          <w:noProof/>
          <w:sz w:val="24"/>
          <w:lang w:val="bg-BG"/>
        </w:rPr>
        <w:t xml:space="preserve">Ситуацията по отношение на </w:t>
      </w:r>
      <w:r>
        <w:rPr>
          <w:rFonts w:ascii="Times New Roman" w:hAnsi="Times New Roman"/>
          <w:noProof/>
          <w:sz w:val="24"/>
        </w:rPr>
        <w:t>NH</w:t>
      </w:r>
      <w:r>
        <w:rPr>
          <w:rFonts w:ascii="Times New Roman" w:hAnsi="Times New Roman"/>
          <w:noProof/>
          <w:sz w:val="24"/>
          <w:vertAlign w:val="subscript"/>
          <w:lang w:val="bg-BG"/>
        </w:rPr>
        <w:t>3</w:t>
      </w:r>
      <w:r>
        <w:rPr>
          <w:rFonts w:ascii="Times New Roman" w:hAnsi="Times New Roman"/>
          <w:noProof/>
          <w:sz w:val="24"/>
          <w:lang w:val="bg-BG"/>
        </w:rPr>
        <w:t xml:space="preserve"> е по-различна, както е показано на фигура</w:t>
      </w:r>
      <w:r>
        <w:rPr>
          <w:rFonts w:ascii="Times New Roman" w:hAnsi="Times New Roman"/>
          <w:noProof/>
          <w:sz w:val="24"/>
        </w:rPr>
        <w:t> </w:t>
      </w:r>
      <w:r>
        <w:rPr>
          <w:rFonts w:ascii="Times New Roman" w:hAnsi="Times New Roman"/>
          <w:noProof/>
          <w:sz w:val="24"/>
          <w:lang w:val="bg-BG"/>
        </w:rPr>
        <w:t xml:space="preserve">2б.  Намаляването на емисиите трябва да бъде </w:t>
      </w:r>
      <w:r>
        <w:rPr>
          <w:rFonts w:ascii="Times New Roman" w:hAnsi="Times New Roman"/>
          <w:noProof/>
          <w:sz w:val="24"/>
          <w:lang w:val="bg-BG"/>
        </w:rPr>
        <w:t>гарантирано почти изцяло от Директивата относно НТЕ, с малък принос на законодателството за намаляване на емисиите при източника, било към базовия сценарий с мерките отпреди 2014</w:t>
      </w:r>
      <w:r>
        <w:rPr>
          <w:rFonts w:ascii="Times New Roman" w:hAnsi="Times New Roman"/>
          <w:noProof/>
          <w:sz w:val="24"/>
        </w:rPr>
        <w:t> </w:t>
      </w:r>
      <w:r>
        <w:rPr>
          <w:rFonts w:ascii="Times New Roman" w:hAnsi="Times New Roman"/>
          <w:noProof/>
          <w:sz w:val="24"/>
          <w:lang w:val="bg-BG"/>
        </w:rPr>
        <w:t>г., или към сценария с включване на проети впоследтвие допълнителни мерки.</w:t>
      </w:r>
    </w:p>
    <w:p w:rsidR="006E4266" w:rsidRDefault="006E4266">
      <w:pPr>
        <w:spacing w:before="120" w:after="120" w:line="240" w:lineRule="auto"/>
        <w:jc w:val="both"/>
        <w:rPr>
          <w:rFonts w:ascii="Times New Roman" w:eastAsia="Times New Roman" w:hAnsi="Times New Roman" w:cs="Times New Roman"/>
          <w:noProof/>
          <w:sz w:val="24"/>
          <w:szCs w:val="20"/>
          <w:lang w:val="bg-BG"/>
        </w:rPr>
      </w:pPr>
    </w:p>
    <w:p w:rsidR="006E4266" w:rsidRDefault="00E56073">
      <w:pPr>
        <w:spacing w:before="120" w:after="120" w:line="240" w:lineRule="auto"/>
        <w:jc w:val="both"/>
        <w:rPr>
          <w:rFonts w:ascii="Times New Roman" w:eastAsia="Times New Roman" w:hAnsi="Times New Roman" w:cs="Times New Roman"/>
          <w:b/>
          <w:noProof/>
          <w:lang w:val="bg-BG"/>
        </w:rPr>
      </w:pPr>
      <w:r>
        <w:rPr>
          <w:rFonts w:ascii="Times New Roman" w:hAnsi="Times New Roman"/>
          <w:b/>
          <w:noProof/>
          <w:lang w:val="bg-BG"/>
        </w:rPr>
        <w:t>Ф</w:t>
      </w:r>
      <w:r>
        <w:rPr>
          <w:rFonts w:ascii="Times New Roman" w:hAnsi="Times New Roman"/>
          <w:b/>
          <w:noProof/>
          <w:lang w:val="bg-BG"/>
        </w:rPr>
        <w:t>игура</w:t>
      </w:r>
      <w:r>
        <w:rPr>
          <w:rFonts w:ascii="Times New Roman" w:hAnsi="Times New Roman"/>
          <w:b/>
          <w:noProof/>
        </w:rPr>
        <w:t> </w:t>
      </w:r>
      <w:r>
        <w:rPr>
          <w:rFonts w:ascii="Times New Roman" w:hAnsi="Times New Roman"/>
          <w:b/>
          <w:noProof/>
          <w:lang w:val="bg-BG"/>
        </w:rPr>
        <w:t xml:space="preserve">2б: </w:t>
      </w:r>
      <w:r>
        <w:rPr>
          <w:rFonts w:ascii="Times New Roman" w:hAnsi="Times New Roman"/>
          <w:b/>
          <w:noProof/>
        </w:rPr>
        <w:t>NH</w:t>
      </w:r>
      <w:r>
        <w:rPr>
          <w:rFonts w:ascii="Times New Roman" w:hAnsi="Times New Roman"/>
          <w:b/>
          <w:noProof/>
          <w:vertAlign w:val="subscript"/>
          <w:lang w:val="bg-BG"/>
        </w:rPr>
        <w:t>3</w:t>
      </w:r>
      <w:r>
        <w:rPr>
          <w:rFonts w:ascii="Times New Roman" w:hAnsi="Times New Roman"/>
          <w:b/>
          <w:noProof/>
          <w:lang w:val="bg-BG"/>
        </w:rPr>
        <w:t xml:space="preserve"> — приноси към изискванията за намаляване на емисиите (ИНЕ), постигнати при: </w:t>
      </w:r>
      <w:r>
        <w:rPr>
          <w:rFonts w:ascii="Times New Roman" w:hAnsi="Times New Roman"/>
          <w:b/>
          <w:noProof/>
        </w:rPr>
        <w:t>i</w:t>
      </w:r>
      <w:r>
        <w:rPr>
          <w:rFonts w:ascii="Times New Roman" w:hAnsi="Times New Roman"/>
          <w:b/>
          <w:noProof/>
          <w:lang w:val="bg-BG"/>
        </w:rPr>
        <w:t>) базовия сценарий въз основа на законодателството отпреди 2014</w:t>
      </w:r>
      <w:r>
        <w:rPr>
          <w:rFonts w:ascii="Times New Roman" w:hAnsi="Times New Roman"/>
          <w:b/>
          <w:noProof/>
        </w:rPr>
        <w:t> </w:t>
      </w:r>
      <w:r>
        <w:rPr>
          <w:rFonts w:ascii="Times New Roman" w:hAnsi="Times New Roman"/>
          <w:b/>
          <w:noProof/>
          <w:lang w:val="bg-BG"/>
        </w:rPr>
        <w:t xml:space="preserve">г., </w:t>
      </w:r>
      <w:r>
        <w:rPr>
          <w:rFonts w:ascii="Times New Roman" w:hAnsi="Times New Roman"/>
          <w:b/>
          <w:noProof/>
        </w:rPr>
        <w:t>ii</w:t>
      </w:r>
      <w:r>
        <w:rPr>
          <w:rFonts w:ascii="Times New Roman" w:hAnsi="Times New Roman"/>
          <w:b/>
          <w:noProof/>
          <w:lang w:val="bg-BG"/>
        </w:rPr>
        <w:t>)</w:t>
      </w:r>
      <w:r>
        <w:rPr>
          <w:rFonts w:ascii="Times New Roman" w:hAnsi="Times New Roman"/>
          <w:b/>
          <w:noProof/>
        </w:rPr>
        <w:t> </w:t>
      </w:r>
      <w:r>
        <w:rPr>
          <w:rFonts w:ascii="Times New Roman" w:hAnsi="Times New Roman"/>
          <w:b/>
          <w:noProof/>
          <w:lang w:val="bg-BG"/>
        </w:rPr>
        <w:t>мерки по законодателството, прието след 2014</w:t>
      </w:r>
      <w:r>
        <w:rPr>
          <w:rFonts w:ascii="Times New Roman" w:hAnsi="Times New Roman"/>
          <w:b/>
          <w:noProof/>
        </w:rPr>
        <w:t> </w:t>
      </w:r>
      <w:r>
        <w:rPr>
          <w:rFonts w:ascii="Times New Roman" w:hAnsi="Times New Roman"/>
          <w:b/>
          <w:noProof/>
          <w:lang w:val="bg-BG"/>
        </w:rPr>
        <w:t xml:space="preserve">г., </w:t>
      </w:r>
      <w:r>
        <w:rPr>
          <w:rFonts w:ascii="Times New Roman" w:hAnsi="Times New Roman"/>
          <w:b/>
          <w:noProof/>
        </w:rPr>
        <w:t>iii</w:t>
      </w:r>
      <w:r>
        <w:rPr>
          <w:rFonts w:ascii="Times New Roman" w:hAnsi="Times New Roman"/>
          <w:b/>
          <w:noProof/>
          <w:lang w:val="bg-BG"/>
        </w:rPr>
        <w:t>) допълнителни мерки, необходими за изпъл</w:t>
      </w:r>
      <w:r>
        <w:rPr>
          <w:rFonts w:ascii="Times New Roman" w:hAnsi="Times New Roman"/>
          <w:b/>
          <w:noProof/>
          <w:lang w:val="bg-BG"/>
        </w:rPr>
        <w:t xml:space="preserve">нение на изискванията за намаляване на емисиите, и </w:t>
      </w:r>
      <w:r>
        <w:rPr>
          <w:rFonts w:ascii="Times New Roman" w:hAnsi="Times New Roman"/>
          <w:b/>
          <w:noProof/>
        </w:rPr>
        <w:t>iv</w:t>
      </w:r>
      <w:r>
        <w:rPr>
          <w:rFonts w:ascii="Times New Roman" w:hAnsi="Times New Roman"/>
          <w:b/>
          <w:noProof/>
          <w:lang w:val="bg-BG"/>
        </w:rPr>
        <w:t>) комбинирано въздействие на мерки, насочени към други емисии.</w:t>
      </w:r>
    </w:p>
    <w:p w:rsidR="006E4266" w:rsidRDefault="00E56073">
      <w:pPr>
        <w:keepNext/>
        <w:spacing w:after="120" w:line="240" w:lineRule="auto"/>
        <w:jc w:val="both"/>
        <w:rPr>
          <w:rFonts w:ascii="Times New Roman" w:eastAsia="Times New Roman" w:hAnsi="Times New Roman" w:cs="Times New Roman"/>
          <w:b/>
          <w:noProof/>
        </w:rPr>
      </w:pPr>
      <w:r>
        <w:rPr>
          <w:noProof/>
          <w:lang w:val="en-GB" w:eastAsia="en-GB"/>
        </w:rPr>
        <w:drawing>
          <wp:inline distT="0" distB="0" distL="0" distR="0">
            <wp:extent cx="4420958" cy="499456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19320" cy="4992713"/>
                    </a:xfrm>
                    <a:prstGeom prst="rect">
                      <a:avLst/>
                    </a:prstGeom>
                    <a:noFill/>
                    <a:ln>
                      <a:noFill/>
                    </a:ln>
                  </pic:spPr>
                </pic:pic>
              </a:graphicData>
            </a:graphic>
          </wp:inline>
        </w:drawing>
      </w:r>
    </w:p>
    <w:p w:rsidR="006E4266" w:rsidRDefault="006E4266">
      <w:pPr>
        <w:spacing w:before="120" w:after="120" w:line="240" w:lineRule="auto"/>
        <w:jc w:val="both"/>
        <w:rPr>
          <w:rFonts w:ascii="Times New Roman" w:eastAsia="Times New Roman" w:hAnsi="Times New Roman" w:cs="Times New Roman"/>
          <w:noProof/>
          <w:sz w:val="24"/>
          <w:szCs w:val="20"/>
        </w:rPr>
      </w:pP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 фигура 3 по-долу са показани секторите, в които може да бъде постигнато необходимото намаление на емисиите на NH</w:t>
      </w:r>
      <w:r>
        <w:rPr>
          <w:rFonts w:ascii="Times New Roman" w:hAnsi="Times New Roman"/>
          <w:noProof/>
          <w:sz w:val="24"/>
          <w:vertAlign w:val="subscript"/>
        </w:rPr>
        <w:t>3</w:t>
      </w:r>
      <w:r>
        <w:rPr>
          <w:rFonts w:ascii="Times New Roman" w:hAnsi="Times New Roman"/>
          <w:noProof/>
          <w:sz w:val="24"/>
        </w:rPr>
        <w:t xml:space="preserve">. Мерките за </w:t>
      </w:r>
      <w:r>
        <w:rPr>
          <w:rFonts w:ascii="Times New Roman" w:hAnsi="Times New Roman"/>
          <w:noProof/>
          <w:sz w:val="24"/>
        </w:rPr>
        <w:t xml:space="preserve">намаляване на емисиите от използването на минерални торове, по-специално карбамид (урея), са определени за икономически ефективни в много държави членки. В Директивата относно НТЕ не е включена пълна забрана за използването на карбамид, тъй като са налице </w:t>
      </w:r>
      <w:r>
        <w:rPr>
          <w:rFonts w:ascii="Times New Roman" w:hAnsi="Times New Roman"/>
          <w:noProof/>
          <w:sz w:val="24"/>
        </w:rPr>
        <w:t>осъществими възможности, включващи оптимизирано време и прилагано количество, използване на предлагани на пазара инхибитори на уреазата или преминаване към други минерални торове с по-ниски нива на отделяне на NH</w:t>
      </w:r>
      <w:r>
        <w:rPr>
          <w:rFonts w:ascii="Times New Roman" w:hAnsi="Times New Roman"/>
          <w:noProof/>
          <w:sz w:val="24"/>
          <w:vertAlign w:val="subscript"/>
        </w:rPr>
        <w:t>3</w:t>
      </w:r>
      <w:r>
        <w:rPr>
          <w:rFonts w:ascii="Times New Roman" w:hAnsi="Times New Roman"/>
          <w:noProof/>
          <w:sz w:val="24"/>
        </w:rPr>
        <w:t xml:space="preserve"> (например амониев нитрат).  Голяма част от</w:t>
      </w:r>
      <w:r>
        <w:rPr>
          <w:rFonts w:ascii="Times New Roman" w:hAnsi="Times New Roman"/>
          <w:noProof/>
          <w:sz w:val="24"/>
        </w:rPr>
        <w:t xml:space="preserve"> намалението трябва да бъде постигнато чрез управлението на оборския тор в свинефермите и птицефермите, като последните заключения за НДНТ относно интензивното отглеждане на свине и домашни птици</w:t>
      </w:r>
      <w:r>
        <w:rPr>
          <w:rFonts w:ascii="Times New Roman" w:hAnsi="Times New Roman"/>
          <w:noProof/>
          <w:sz w:val="24"/>
        </w:rPr>
        <w:footnoteReference w:id="30"/>
      </w:r>
      <w:r>
        <w:rPr>
          <w:rFonts w:ascii="Times New Roman" w:hAnsi="Times New Roman"/>
          <w:noProof/>
          <w:sz w:val="24"/>
        </w:rPr>
        <w:t xml:space="preserve"> (които все още не са включени в анализа) могат да допринеса</w:t>
      </w:r>
      <w:r>
        <w:rPr>
          <w:rFonts w:ascii="Times New Roman" w:hAnsi="Times New Roman"/>
          <w:noProof/>
          <w:sz w:val="24"/>
        </w:rPr>
        <w:t>т за необходимите намаления. Мерките за управление на оборски тор извън горепосочената област също в голяма степен са икономически ефективни и една опростена, базирана на НДНТ схема за управление на оборския тор, напр. основана на опита от Директивата за е</w:t>
      </w:r>
      <w:r>
        <w:rPr>
          <w:rFonts w:ascii="Times New Roman" w:hAnsi="Times New Roman"/>
          <w:noProof/>
          <w:sz w:val="24"/>
        </w:rPr>
        <w:t>мисиите от промишлеността, би осигурила значителна подкрепа за постигането на намаление на емисиите. Полезните взаимодействия с прилагането на съответното законодателство на ЕС, като например Директива 91/676/ЕИО за нитратите</w:t>
      </w:r>
      <w:r>
        <w:rPr>
          <w:rFonts w:ascii="Times New Roman" w:hAnsi="Times New Roman"/>
          <w:noProof/>
          <w:sz w:val="24"/>
          <w:vertAlign w:val="superscript"/>
        </w:rPr>
        <w:footnoteReference w:id="31"/>
      </w:r>
      <w:r>
        <w:rPr>
          <w:rFonts w:ascii="Times New Roman" w:hAnsi="Times New Roman"/>
          <w:noProof/>
          <w:sz w:val="24"/>
        </w:rPr>
        <w:t>, следва също да бъдат допълни</w:t>
      </w:r>
      <w:r>
        <w:rPr>
          <w:rFonts w:ascii="Times New Roman" w:hAnsi="Times New Roman"/>
          <w:noProof/>
          <w:sz w:val="24"/>
        </w:rPr>
        <w:t>телно засилени, като държавите членки бъдат насърчени да въведат мерки за интегрирано управление на изискванията за въздуха, водата и почвата.</w:t>
      </w:r>
    </w:p>
    <w:p w:rsidR="006E4266" w:rsidRDefault="00E56073">
      <w:pPr>
        <w:keepNext/>
        <w:spacing w:after="120" w:line="240" w:lineRule="auto"/>
        <w:jc w:val="both"/>
        <w:rPr>
          <w:rFonts w:ascii="Times New Roman" w:eastAsia="Times New Roman" w:hAnsi="Times New Roman" w:cs="Times New Roman"/>
          <w:b/>
          <w:noProof/>
          <w:highlight w:val="yellow"/>
        </w:rPr>
      </w:pPr>
      <w:r>
        <w:rPr>
          <w:rFonts w:ascii="Times New Roman" w:hAnsi="Times New Roman"/>
          <w:b/>
          <w:noProof/>
        </w:rPr>
        <w:t>Фигура 3: Допълнително намаляване на емисиите на NH</w:t>
      </w:r>
      <w:r>
        <w:rPr>
          <w:rFonts w:ascii="Times New Roman" w:hAnsi="Times New Roman"/>
          <w:b/>
          <w:noProof/>
          <w:vertAlign w:val="subscript"/>
        </w:rPr>
        <w:t>3</w:t>
      </w:r>
      <w:r>
        <w:rPr>
          <w:rFonts w:ascii="Times New Roman" w:hAnsi="Times New Roman"/>
          <w:b/>
          <w:noProof/>
        </w:rPr>
        <w:t xml:space="preserve"> за постигане на изискванията за намаление на емисиите през 2</w:t>
      </w:r>
      <w:r>
        <w:rPr>
          <w:rFonts w:ascii="Times New Roman" w:hAnsi="Times New Roman"/>
          <w:b/>
          <w:noProof/>
        </w:rPr>
        <w:t>030 г. , в допълнение към мерките по съществуващото до 2017 г. законодателство, по сектори</w:t>
      </w:r>
    </w:p>
    <w:p w:rsidR="006E4266" w:rsidRDefault="00E56073">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5761355" cy="37577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1355" cy="3757799"/>
                    </a:xfrm>
                    <a:prstGeom prst="rect">
                      <a:avLst/>
                    </a:prstGeom>
                    <a:noFill/>
                    <a:ln>
                      <a:noFill/>
                    </a:ln>
                  </pic:spPr>
                </pic:pic>
              </a:graphicData>
            </a:graphic>
          </wp:inline>
        </w:drawing>
      </w:r>
    </w:p>
    <w:p w:rsidR="006E4266" w:rsidRDefault="006E4266">
      <w:pPr>
        <w:spacing w:before="120" w:after="120" w:line="240" w:lineRule="auto"/>
        <w:jc w:val="both"/>
        <w:rPr>
          <w:rFonts w:ascii="Times New Roman" w:eastAsia="Times New Roman" w:hAnsi="Times New Roman" w:cs="Times New Roman"/>
          <w:noProof/>
          <w:sz w:val="24"/>
          <w:szCs w:val="20"/>
        </w:rPr>
      </w:pPr>
    </w:p>
    <w:p w:rsidR="006E4266" w:rsidRDefault="00E56073">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Секторни и макроикономически въздействия</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Икономическите последици от регулирането на замърсяването на въздуха се простират извън преките ползи и разходи, представ</w:t>
      </w:r>
      <w:r>
        <w:rPr>
          <w:rFonts w:ascii="Times New Roman" w:hAnsi="Times New Roman"/>
          <w:noProof/>
          <w:sz w:val="24"/>
        </w:rPr>
        <w:t xml:space="preserve">ени в разделите </w:t>
      </w:r>
      <w:r>
        <w:rPr>
          <w:rFonts w:ascii="Times New Roman" w:eastAsia="Times New Roman" w:hAnsi="Times New Roman" w:cs="Times New Roman"/>
          <w:noProof/>
          <w:sz w:val="24"/>
          <w:szCs w:val="20"/>
        </w:rPr>
        <w:t>3.1</w:t>
      </w:r>
      <w:r>
        <w:rPr>
          <w:rFonts w:ascii="Times New Roman" w:hAnsi="Times New Roman"/>
          <w:noProof/>
          <w:sz w:val="24"/>
        </w:rPr>
        <w:t xml:space="preserve"> и </w:t>
      </w:r>
      <w:r>
        <w:rPr>
          <w:rFonts w:ascii="Times New Roman" w:eastAsia="Times New Roman" w:hAnsi="Times New Roman" w:cs="Times New Roman"/>
          <w:noProof/>
          <w:sz w:val="24"/>
          <w:szCs w:val="20"/>
        </w:rPr>
        <w:t>3.2.2</w:t>
      </w:r>
      <w:r>
        <w:rPr>
          <w:rFonts w:ascii="Times New Roman" w:hAnsi="Times New Roman"/>
          <w:noProof/>
          <w:sz w:val="24"/>
        </w:rPr>
        <w:t>. На първо място, прилагането на технологии за намаляване на замърсяването създава допълнително търсене за секторите, доставящи продуктите за намаляване на емисиите. На второ място, увеличението на разходите за намаляване на емис</w:t>
      </w:r>
      <w:r>
        <w:rPr>
          <w:rFonts w:ascii="Times New Roman" w:hAnsi="Times New Roman"/>
          <w:noProof/>
          <w:sz w:val="24"/>
        </w:rPr>
        <w:t>иите може да повлияе върху конкурентоспособността на секторите, които извършват дейност на международния пазар. На трето място, въздействието върху обема на продукцията на сектора може да породи въздействие върху цялата икономика, като засегне търсенето на</w:t>
      </w:r>
      <w:r>
        <w:rPr>
          <w:rFonts w:ascii="Times New Roman" w:hAnsi="Times New Roman"/>
          <w:noProof/>
          <w:sz w:val="24"/>
        </w:rPr>
        <w:t xml:space="preserve"> междинни продукти и труд. Последното е свързано с промени в заетостта и заплащането и би оказало влияние върху разполагаемите доходи на домакинствата и тяхното благополучие.</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За да се отчетат тези косвени последици са изчислени макроикономическите и специф</w:t>
      </w:r>
      <w:r>
        <w:rPr>
          <w:rFonts w:ascii="Times New Roman" w:hAnsi="Times New Roman"/>
          <w:noProof/>
          <w:sz w:val="24"/>
        </w:rPr>
        <w:t>ичните за сектора въздействия върху изпълнението на задълженията за 2030 г. (като е използван моделът JRC-GEM-E3). Те са посочени в таблица 2 по-долу и са общо взето същите като в оценката на въздействието за 2013 г., придружаваща предложението на Европейс</w:t>
      </w:r>
      <w:r>
        <w:rPr>
          <w:rFonts w:ascii="Times New Roman" w:hAnsi="Times New Roman"/>
          <w:noProof/>
          <w:sz w:val="24"/>
        </w:rPr>
        <w:t>ката комисия за Директива за НТЕ: разходите за изпълнение на задълженията за намаляване на емисиите за 2030 г. ще са повече от компенсирани от ползите за здравето и селското стопанство (намаляване на отпуските по болест и подобряване на земеделските добиви</w:t>
      </w:r>
      <w:r>
        <w:rPr>
          <w:rFonts w:ascii="Times New Roman" w:hAnsi="Times New Roman"/>
          <w:noProof/>
          <w:sz w:val="24"/>
        </w:rPr>
        <w:t xml:space="preserve">), като генерират известно положително въздействие върху БВП. В секторите, които поемат значителна част от разходите (например селското стопанство), се получава леко понижение на обема на продукцията, докато производството се увеличава в сектори, които се </w:t>
      </w:r>
      <w:r>
        <w:rPr>
          <w:rFonts w:ascii="Times New Roman" w:hAnsi="Times New Roman"/>
          <w:noProof/>
          <w:sz w:val="24"/>
        </w:rPr>
        <w:t>възползват от увеличеното търсене на стоки за намаляване на емисиите, като електрически стоки, транспортни услуги и други видове продукти.</w:t>
      </w:r>
    </w:p>
    <w:p w:rsidR="006E4266" w:rsidRDefault="006E4266">
      <w:pPr>
        <w:spacing w:before="120" w:after="120" w:line="240" w:lineRule="auto"/>
        <w:jc w:val="both"/>
        <w:rPr>
          <w:rFonts w:ascii="Times New Roman" w:eastAsia="Times New Roman" w:hAnsi="Times New Roman" w:cs="Times New Roman"/>
          <w:noProof/>
          <w:sz w:val="24"/>
          <w:szCs w:val="20"/>
        </w:rPr>
      </w:pPr>
    </w:p>
    <w:p w:rsidR="006E4266" w:rsidRDefault="00E56073">
      <w:pPr>
        <w:keepNext/>
        <w:spacing w:before="120" w:after="120" w:line="240" w:lineRule="auto"/>
        <w:jc w:val="both"/>
        <w:rPr>
          <w:rFonts w:ascii="Times New Roman" w:eastAsia="Times New Roman" w:hAnsi="Times New Roman" w:cs="Times New Roman"/>
          <w:b/>
          <w:bCs/>
          <w:noProof/>
        </w:rPr>
      </w:pPr>
      <w:bookmarkStart w:id="7" w:name="_Ref496860719"/>
      <w:r>
        <w:rPr>
          <w:rFonts w:ascii="Times New Roman" w:hAnsi="Times New Roman"/>
          <w:b/>
          <w:noProof/>
        </w:rPr>
        <w:t>Таблица 2</w:t>
      </w:r>
      <w:bookmarkEnd w:id="7"/>
      <w:r>
        <w:rPr>
          <w:rFonts w:ascii="Times New Roman" w:hAnsi="Times New Roman"/>
          <w:b/>
          <w:noProof/>
        </w:rPr>
        <w:t>: Въздействие на изпълнението на задълженията за намаляване на емисиите за 2030 г. върху БВП и производство</w:t>
      </w:r>
      <w:r>
        <w:rPr>
          <w:rFonts w:ascii="Times New Roman" w:hAnsi="Times New Roman"/>
          <w:b/>
          <w:noProof/>
        </w:rPr>
        <w:t>то в съответните сектори. Източник: JRC-GEM-E3.</w:t>
      </w:r>
    </w:p>
    <w:tbl>
      <w:tblPr>
        <w:tblW w:w="9245" w:type="dxa"/>
        <w:tblInd w:w="93" w:type="dxa"/>
        <w:tblLook w:val="04A0" w:firstRow="1" w:lastRow="0" w:firstColumn="1" w:lastColumn="0" w:noHBand="0" w:noVBand="1"/>
      </w:tblPr>
      <w:tblGrid>
        <w:gridCol w:w="3496"/>
        <w:gridCol w:w="833"/>
        <w:gridCol w:w="928"/>
        <w:gridCol w:w="1066"/>
        <w:gridCol w:w="928"/>
        <w:gridCol w:w="1066"/>
        <w:gridCol w:w="928"/>
      </w:tblGrid>
      <w:tr w:rsidR="006E4266">
        <w:trPr>
          <w:trHeight w:val="268"/>
        </w:trPr>
        <w:tc>
          <w:tcPr>
            <w:tcW w:w="3496"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Показателят</w:t>
            </w:r>
            <w:r>
              <w:rPr>
                <w:rFonts w:ascii="Times New Roman" w:hAnsi="Times New Roman"/>
                <w:noProof/>
                <w:color w:val="000000"/>
                <w:sz w:val="20"/>
                <w:vertAlign w:val="superscript"/>
              </w:rPr>
              <w:t>*</w:t>
            </w:r>
            <w:r>
              <w:rPr>
                <w:rFonts w:ascii="Times New Roman" w:hAnsi="Times New Roman"/>
                <w:noProof/>
                <w:color w:val="000000"/>
                <w:sz w:val="20"/>
              </w:rPr>
              <w:t xml:space="preserve"> включва:</w:t>
            </w:r>
          </w:p>
        </w:tc>
        <w:tc>
          <w:tcPr>
            <w:tcW w:w="833"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928"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1066"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928"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1066"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928" w:type="dxa"/>
            <w:tcBorders>
              <w:top w:val="single" w:sz="4" w:space="0" w:color="auto"/>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Законодателство за намаляване на емисиите при източника, прието след 2014 г.?</w:t>
            </w:r>
          </w:p>
        </w:tc>
        <w:tc>
          <w:tcPr>
            <w:tcW w:w="833" w:type="dxa"/>
            <w:tcBorders>
              <w:top w:val="nil"/>
              <w:left w:val="nil"/>
              <w:bottom w:val="nil"/>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nil"/>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Пакет за климата и енергията</w:t>
            </w:r>
            <w:r>
              <w:rPr>
                <w:rFonts w:ascii="Times New Roman" w:hAnsi="Times New Roman"/>
                <w:noProof/>
                <w:color w:val="000000"/>
                <w:sz w:val="20"/>
                <w:vertAlign w:val="superscript"/>
              </w:rPr>
              <w:footnoteReference w:id="32"/>
            </w:r>
            <w:r>
              <w:rPr>
                <w:rFonts w:ascii="Times New Roman" w:hAnsi="Times New Roman"/>
                <w:noProof/>
                <w:color w:val="000000"/>
                <w:sz w:val="20"/>
              </w:rPr>
              <w:t>?</w:t>
            </w:r>
          </w:p>
        </w:tc>
        <w:tc>
          <w:tcPr>
            <w:tcW w:w="833" w:type="dxa"/>
            <w:tcBorders>
              <w:top w:val="nil"/>
              <w:left w:val="nil"/>
              <w:bottom w:val="nil"/>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nil"/>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1066" w:type="dxa"/>
            <w:tcBorders>
              <w:top w:val="nil"/>
              <w:left w:val="nil"/>
              <w:bottom w:val="nil"/>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nil"/>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r>
      <w:tr w:rsidR="006E4266">
        <w:trPr>
          <w:trHeight w:val="395"/>
        </w:trPr>
        <w:tc>
          <w:tcPr>
            <w:tcW w:w="3496" w:type="dxa"/>
            <w:tcBorders>
              <w:top w:val="nil"/>
              <w:left w:val="nil"/>
              <w:bottom w:val="single" w:sz="4" w:space="0" w:color="auto"/>
              <w:right w:val="nil"/>
            </w:tcBorders>
            <w:shd w:val="clear" w:color="auto" w:fill="auto"/>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Включени ли са ползите за </w:t>
            </w:r>
            <w:r>
              <w:rPr>
                <w:rFonts w:ascii="Times New Roman" w:hAnsi="Times New Roman"/>
                <w:noProof/>
                <w:color w:val="000000"/>
                <w:sz w:val="20"/>
              </w:rPr>
              <w:t>здравето и земеделските добиви?</w:t>
            </w:r>
          </w:p>
        </w:tc>
        <w:tc>
          <w:tcPr>
            <w:tcW w:w="833" w:type="dxa"/>
            <w:tcBorders>
              <w:top w:val="nil"/>
              <w:left w:val="nil"/>
              <w:bottom w:val="single" w:sz="4" w:space="0" w:color="auto"/>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1066" w:type="dxa"/>
            <w:tcBorders>
              <w:top w:val="nil"/>
              <w:left w:val="nil"/>
              <w:bottom w:val="single" w:sz="4" w:space="0" w:color="auto"/>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1066" w:type="dxa"/>
            <w:tcBorders>
              <w:top w:val="nil"/>
              <w:left w:val="nil"/>
              <w:bottom w:val="single" w:sz="4" w:space="0" w:color="auto"/>
              <w:right w:val="nil"/>
            </w:tcBorders>
            <w:shd w:val="clear" w:color="auto" w:fill="auto"/>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r>
      <w:tr w:rsidR="006E4266">
        <w:trPr>
          <w:trHeight w:val="122"/>
        </w:trPr>
        <w:tc>
          <w:tcPr>
            <w:tcW w:w="3496"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833"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noProof/>
                <w:color w:val="000000"/>
                <w:sz w:val="20"/>
              </w:rPr>
              <w:t>БВП</w:t>
            </w:r>
          </w:p>
        </w:tc>
        <w:tc>
          <w:tcPr>
            <w:tcW w:w="833"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-0,010</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0,006</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-0,005</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0,006</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-0,002</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0,006</w:t>
            </w:r>
          </w:p>
        </w:tc>
      </w:tr>
      <w:tr w:rsidR="006E4266">
        <w:trPr>
          <w:trHeight w:val="196"/>
        </w:trPr>
        <w:tc>
          <w:tcPr>
            <w:tcW w:w="3496"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833"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rsidR="006E4266" w:rsidRDefault="006E4266">
            <w:pPr>
              <w:spacing w:after="0" w:line="240" w:lineRule="auto"/>
              <w:rPr>
                <w:rFonts w:ascii="Times New Roman" w:eastAsia="Times New Roman" w:hAnsi="Times New Roman" w:cs="Times New Roman"/>
                <w:noProof/>
                <w:color w:val="000000"/>
                <w:sz w:val="20"/>
                <w:szCs w:val="20"/>
              </w:rPr>
            </w:pP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Селско стопанство</w:t>
            </w:r>
          </w:p>
        </w:tc>
        <w:tc>
          <w:tcPr>
            <w:tcW w:w="833"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-0,09</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-0,04</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-0,05</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-0,07</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-0,07</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-0,05</w:t>
            </w: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Енергетика</w:t>
            </w:r>
          </w:p>
        </w:tc>
        <w:tc>
          <w:tcPr>
            <w:tcW w:w="833"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0,03</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Енергийно интензивни промишлени сектори</w:t>
            </w:r>
          </w:p>
        </w:tc>
        <w:tc>
          <w:tcPr>
            <w:tcW w:w="833"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r>
      <w:tr w:rsidR="006E4266">
        <w:trPr>
          <w:trHeight w:val="268"/>
        </w:trPr>
        <w:tc>
          <w:tcPr>
            <w:tcW w:w="3496" w:type="dxa"/>
            <w:tcBorders>
              <w:top w:val="nil"/>
              <w:left w:val="nil"/>
              <w:bottom w:val="nil"/>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Други промишлени сектори</w:t>
            </w:r>
          </w:p>
        </w:tc>
        <w:tc>
          <w:tcPr>
            <w:tcW w:w="833"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0,03</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r>
      <w:tr w:rsidR="006E4266">
        <w:trPr>
          <w:trHeight w:val="268"/>
        </w:trPr>
        <w:tc>
          <w:tcPr>
            <w:tcW w:w="3496"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Услуги</w:t>
            </w:r>
          </w:p>
        </w:tc>
        <w:tc>
          <w:tcPr>
            <w:tcW w:w="833"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1066"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1066"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single" w:sz="4" w:space="0" w:color="auto"/>
              <w:right w:val="nil"/>
            </w:tcBorders>
            <w:shd w:val="clear" w:color="auto" w:fill="auto"/>
            <w:noWrap/>
            <w:vAlign w:val="bottom"/>
            <w:hideMark/>
          </w:tcPr>
          <w:p w:rsidR="006E4266" w:rsidRDefault="00E56073">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r>
    </w:tbl>
    <w:p w:rsidR="006E4266" w:rsidRDefault="00E56073">
      <w:pPr>
        <w:spacing w:before="120" w:after="120" w:line="240" w:lineRule="auto"/>
        <w:jc w:val="both"/>
        <w:rPr>
          <w:rFonts w:ascii="Times New Roman" w:eastAsia="Times New Roman" w:hAnsi="Times New Roman" w:cs="Times New Roman"/>
          <w:noProof/>
          <w:sz w:val="16"/>
          <w:szCs w:val="16"/>
        </w:rPr>
      </w:pPr>
      <w:r>
        <w:rPr>
          <w:rFonts w:ascii="Times New Roman" w:hAnsi="Times New Roman"/>
          <w:noProof/>
          <w:sz w:val="16"/>
          <w:vertAlign w:val="superscript"/>
        </w:rPr>
        <w:t>*</w:t>
      </w:r>
      <w:r>
        <w:rPr>
          <w:rFonts w:ascii="Times New Roman" w:hAnsi="Times New Roman"/>
          <w:noProof/>
          <w:sz w:val="16"/>
        </w:rPr>
        <w:t xml:space="preserve"> Резултатите са изразени като процентна разлика през 2030 г. със съответния реперен показател</w:t>
      </w:r>
    </w:p>
    <w:p w:rsidR="006E4266" w:rsidRDefault="00E56073">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8" w:name="_Ref497915952"/>
      <w:r>
        <w:rPr>
          <w:rFonts w:ascii="Times New Roman" w:hAnsi="Times New Roman"/>
          <w:i/>
          <w:noProof/>
          <w:sz w:val="24"/>
        </w:rPr>
        <w:t xml:space="preserve">Източници на финансиране от ЕС </w:t>
      </w:r>
      <w:bookmarkEnd w:id="8"/>
      <w:r>
        <w:rPr>
          <w:rFonts w:ascii="Times New Roman" w:hAnsi="Times New Roman"/>
          <w:i/>
          <w:noProof/>
          <w:sz w:val="24"/>
        </w:rPr>
        <w:t xml:space="preserve">, </w:t>
      </w:r>
      <w:r>
        <w:rPr>
          <w:rFonts w:ascii="Times New Roman" w:hAnsi="Times New Roman"/>
          <w:i/>
          <w:noProof/>
          <w:sz w:val="24"/>
        </w:rPr>
        <w:t>допринасящи за качеството на въздуха</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Налице са значителни ресурси от фондовете на ЕС, включително в области като транспорт, енергетика, селско стопанство и промишленост, където следва да бъде дадено първостепенно място на изискванията за опазване на околна</w:t>
      </w:r>
      <w:r>
        <w:rPr>
          <w:rFonts w:ascii="Times New Roman" w:hAnsi="Times New Roman"/>
          <w:noProof/>
          <w:sz w:val="24"/>
        </w:rPr>
        <w:t>та среда. В рамките на Европейските структурни и инвестиционни фондове би могло специално да бъде мобилизирано финансирането, свързано със следните тематични цели: 4. Нисковъглеродна икономика (45 милиарда евро); 6. Опазване на околната среда и ресурсна еф</w:t>
      </w:r>
      <w:r>
        <w:rPr>
          <w:rFonts w:ascii="Times New Roman" w:hAnsi="Times New Roman"/>
          <w:noProof/>
          <w:sz w:val="24"/>
        </w:rPr>
        <w:t>ективност (63 милиарда евро) и 7. Мрежова инфраструктура в областта на транспорта и енергетиката (58 милиарда евро)</w:t>
      </w:r>
      <w:r>
        <w:rPr>
          <w:rFonts w:ascii="Times New Roman" w:hAnsi="Times New Roman"/>
          <w:noProof/>
          <w:sz w:val="24"/>
        </w:rPr>
        <w:footnoteReference w:id="33"/>
      </w:r>
      <w:r>
        <w:rPr>
          <w:noProof/>
        </w:rPr>
        <w:t>.</w:t>
      </w:r>
      <w:r>
        <w:rPr>
          <w:rFonts w:ascii="Times New Roman" w:hAnsi="Times New Roman"/>
          <w:noProof/>
          <w:sz w:val="24"/>
        </w:rPr>
        <w:t xml:space="preserve">  В наскоро проведено изследване</w:t>
      </w:r>
      <w:r>
        <w:rPr>
          <w:rFonts w:ascii="Times New Roman" w:hAnsi="Times New Roman"/>
          <w:noProof/>
          <w:sz w:val="24"/>
        </w:rPr>
        <w:footnoteReference w:id="34"/>
      </w:r>
      <w:r>
        <w:rPr>
          <w:rFonts w:ascii="Times New Roman" w:hAnsi="Times New Roman"/>
          <w:noProof/>
          <w:sz w:val="24"/>
        </w:rPr>
        <w:t xml:space="preserve"> е изчислено условно, че за действия, които допринасят изцяло или частично за качеството на въздуха, са пр</w:t>
      </w:r>
      <w:r>
        <w:rPr>
          <w:rFonts w:ascii="Times New Roman" w:hAnsi="Times New Roman"/>
          <w:noProof/>
          <w:sz w:val="24"/>
        </w:rPr>
        <w:t>едназначени 76 милиарда евро от Европейския фонд за регионално развитие (ERDF), Кохезионния фонд (CF) и Европейския земеделски фонд за развитие на селските райони (EAFRD). Макар и в по-малка степен, ERDF предоставя също възможности за финансиране за нововъ</w:t>
      </w:r>
      <w:r>
        <w:rPr>
          <w:rFonts w:ascii="Times New Roman" w:hAnsi="Times New Roman"/>
          <w:noProof/>
          <w:sz w:val="24"/>
        </w:rPr>
        <w:t xml:space="preserve">ведения в съответствие с областните или националните стратегии за интелигентно специализиране, някои от които могат да бъдат използвани във връзка с качеството на въздуха. </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рамките на Механизма за свързване на Европа (CEF) от бюджета на ЕС за периода </w:t>
      </w:r>
      <w:r>
        <w:rPr>
          <w:rFonts w:ascii="Times New Roman" w:hAnsi="Times New Roman"/>
          <w:noProof/>
          <w:sz w:val="24"/>
        </w:rPr>
        <w:t>2014 — 2020 г. са достъпни 32 милиарда евро за съфинансиране на проекти в областта на транспорта и енергетиката в държавите — членки на ЕС, от които около 9 милиарда евро (предимно от транспортния стълб) са предназначени за проекти, които могат да бъдат от</w:t>
      </w:r>
      <w:r>
        <w:rPr>
          <w:rFonts w:ascii="Times New Roman" w:hAnsi="Times New Roman"/>
          <w:noProof/>
          <w:sz w:val="24"/>
        </w:rPr>
        <w:t xml:space="preserve"> полза за качеството на въздуха. В рамките на програмата „Хоризонт 2020“ във връзка с изследвания и иновации близо 12 милиарда евро биха могли да бъдат използвани за намаляване на емисиите и качеството на въздуха. В рамките на програмата LIFE се подпомагат</w:t>
      </w:r>
      <w:r>
        <w:rPr>
          <w:rFonts w:ascii="Times New Roman" w:hAnsi="Times New Roman"/>
          <w:noProof/>
          <w:sz w:val="24"/>
        </w:rPr>
        <w:t xml:space="preserve"> пилотни и демонстрационни проекти, както и интегрирани проекти за изпълнение на планове за качеството на въздуха. Оценено е, че за периода 2014—2020 г. за проекти с пряко или косвено въздействие върху качеството на въздуха ще бъдат отпуснати приблизително</w:t>
      </w:r>
      <w:r>
        <w:rPr>
          <w:rFonts w:ascii="Times New Roman" w:hAnsi="Times New Roman"/>
          <w:noProof/>
          <w:sz w:val="24"/>
        </w:rPr>
        <w:t xml:space="preserve"> 300 милиона евро. От сумата от 315 милиарда евро, предвидени за заеми и финансови инструменти в рамките на Европейския фонд за стратегически инвестиции (EFSI), приблизително 30 % от постъпленията (около 95 милиарда евро) ще бъдат отпуснати за проекти, кои</w:t>
      </w:r>
      <w:r>
        <w:rPr>
          <w:rFonts w:ascii="Times New Roman" w:hAnsi="Times New Roman"/>
          <w:noProof/>
          <w:sz w:val="24"/>
        </w:rPr>
        <w:t>то имат отношение към качеството на въздуха, например за проекти в областта на енергетиката и транспорта, а съществуват и възможности, предоставени от Европейската инвестиционна банка.</w:t>
      </w:r>
    </w:p>
    <w:p w:rsidR="006E4266" w:rsidRDefault="00E56073">
      <w:pPr>
        <w:spacing w:before="120" w:after="120" w:line="240" w:lineRule="auto"/>
        <w:jc w:val="both"/>
        <w:rPr>
          <w:rFonts w:ascii="Times New Roman" w:hAnsi="Times New Roman"/>
          <w:noProof/>
          <w:sz w:val="24"/>
        </w:rPr>
      </w:pPr>
      <w:r>
        <w:rPr>
          <w:rFonts w:ascii="Times New Roman" w:hAnsi="Times New Roman"/>
          <w:noProof/>
          <w:sz w:val="24"/>
        </w:rPr>
        <w:t>Финансовите разпоредби на Директивата относно НТЕ (член 7 и член 11, параграф 1, буква в) са предназначени да насърчават по-доброто интегриране и по-ефективното използване на финансирането, свързано с качеството на въздуха. Държавите членки се насърчават в</w:t>
      </w:r>
      <w:r>
        <w:rPr>
          <w:rFonts w:ascii="Times New Roman" w:hAnsi="Times New Roman"/>
          <w:noProof/>
          <w:sz w:val="24"/>
        </w:rPr>
        <w:t xml:space="preserve"> максимална степен да използват наличното финансиране.  </w:t>
      </w:r>
    </w:p>
    <w:p w:rsidR="006E4266" w:rsidRDefault="00E56073">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По многогодишната финансова рамка за 2021—2027 г., предложена от Европейската комисия</w:t>
      </w:r>
      <w:r>
        <w:rPr>
          <w:rFonts w:ascii="Calibri" w:eastAsia="Calibri" w:hAnsi="Calibri" w:cs="Times New Roman"/>
          <w:noProof/>
          <w:sz w:val="24"/>
          <w:szCs w:val="20"/>
          <w:vertAlign w:val="superscript"/>
          <w:lang w:val="en-GB"/>
        </w:rPr>
        <w:footnoteReference w:id="35"/>
      </w:r>
      <w:r>
        <w:rPr>
          <w:rFonts w:ascii="Times New Roman" w:eastAsia="Times New Roman" w:hAnsi="Times New Roman" w:cs="Times New Roman"/>
          <w:noProof/>
          <w:sz w:val="24"/>
          <w:szCs w:val="20"/>
        </w:rPr>
        <w:t>, ще продължат да се подпомагат мерки за подобряване на качеството на въздуха, включително посредством цел от 25 </w:t>
      </w:r>
      <w:r>
        <w:rPr>
          <w:rFonts w:ascii="Times New Roman" w:eastAsia="Times New Roman" w:hAnsi="Times New Roman" w:cs="Times New Roman"/>
          <w:noProof/>
          <w:sz w:val="24"/>
          <w:szCs w:val="20"/>
        </w:rPr>
        <w:t>% от разходите на ЕС, с които да се допринася към целите, свързани с климата, и посредством засилване на програмата LIFE.</w:t>
      </w:r>
    </w:p>
    <w:p w:rsidR="006E4266" w:rsidRDefault="00E56073">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Обобщение</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Актуализираният анализ показва, че допълнителните разходи за прилагане на Директивата относно НТЕ са значително по-ниски от </w:t>
      </w:r>
      <w:r>
        <w:rPr>
          <w:rFonts w:ascii="Times New Roman" w:hAnsi="Times New Roman"/>
          <w:noProof/>
          <w:sz w:val="24"/>
        </w:rPr>
        <w:t>очакваните, отчасти поради промени, направени от съзаконодателите, и отчасти поради междувременно приети нормативни актове на ЕС, които са свързани с целите по отношение на качеството на въздуха и очакваното положително въздействие на бъдещия пакет на ЕС з</w:t>
      </w:r>
      <w:r>
        <w:rPr>
          <w:rFonts w:ascii="Times New Roman" w:hAnsi="Times New Roman"/>
          <w:noProof/>
          <w:sz w:val="24"/>
        </w:rPr>
        <w:t>а климата и енергетиката за периода до 2030 г., който се очаква скоро да бъде приет.</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Важно е обаче да се избегне рискът от самодоволство.  При анализа е прието, че ще има цялостно пълното прилагане и изпълнение на законодателството, което трябва да се осиг</w:t>
      </w:r>
      <w:r>
        <w:rPr>
          <w:rFonts w:ascii="Times New Roman" w:hAnsi="Times New Roman"/>
          <w:noProof/>
          <w:sz w:val="24"/>
        </w:rPr>
        <w:t>ури от държавите членки.  Той също така се основава на допускания, по-специално относно потенциала за действие и контрол на замърсяването, които въпреки положените от нас усилия, би могло да се различават от съответните данни на държавите членки.</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този см</w:t>
      </w:r>
      <w:r>
        <w:rPr>
          <w:rFonts w:ascii="Times New Roman" w:hAnsi="Times New Roman"/>
          <w:noProof/>
          <w:sz w:val="24"/>
        </w:rPr>
        <w:t>исъл анализът дава обща перспектива на равнище ЕС и към него следва да се подхожда с необходимата предпазливост при разработването на политиката на национално ниво в националните програми за контрол на замърсяването на въздуха.</w:t>
      </w:r>
    </w:p>
    <w:p w:rsidR="006E4266" w:rsidRDefault="00E56073">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 xml:space="preserve">Перспективи за постигане на </w:t>
      </w:r>
      <w:r>
        <w:rPr>
          <w:rFonts w:ascii="Times New Roman" w:hAnsi="Times New Roman"/>
          <w:b/>
          <w:smallCaps/>
          <w:noProof/>
          <w:sz w:val="24"/>
        </w:rPr>
        <w:t>дългосрочни цели</w:t>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Препоръчителни пределно допустими стойности за PM</w:t>
      </w:r>
      <w:r>
        <w:rPr>
          <w:rFonts w:ascii="Times New Roman" w:hAnsi="Times New Roman"/>
          <w:b/>
          <w:noProof/>
          <w:sz w:val="24"/>
          <w:vertAlign w:val="subscript"/>
        </w:rPr>
        <w:t>2,5</w:t>
      </w:r>
      <w:r>
        <w:rPr>
          <w:rFonts w:ascii="Times New Roman" w:hAnsi="Times New Roman"/>
          <w:b/>
          <w:noProof/>
          <w:sz w:val="24"/>
        </w:rPr>
        <w:t xml:space="preserve"> според СЗО</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Според изчисленията на ЕАОС през 2015 г. 82 % от населението на ЕС е било изложено на концентрации над препоръчителните пределно допустими стойности за PM</w:t>
      </w:r>
      <w:r>
        <w:rPr>
          <w:rFonts w:ascii="Times New Roman" w:hAnsi="Times New Roman"/>
          <w:noProof/>
          <w:sz w:val="24"/>
          <w:vertAlign w:val="subscript"/>
        </w:rPr>
        <w:t>2,5</w:t>
      </w:r>
      <w:r>
        <w:rPr>
          <w:rFonts w:ascii="Times New Roman" w:hAnsi="Times New Roman"/>
          <w:noProof/>
          <w:sz w:val="24"/>
        </w:rPr>
        <w:t xml:space="preserve"> според СЗО, възлизащи на 10 µg/m</w:t>
      </w:r>
      <w:r>
        <w:rPr>
          <w:rFonts w:ascii="Times New Roman" w:hAnsi="Times New Roman"/>
          <w:noProof/>
          <w:sz w:val="24"/>
          <w:vertAlign w:val="superscript"/>
        </w:rPr>
        <w:t>3.</w:t>
      </w:r>
      <w:r>
        <w:rPr>
          <w:rFonts w:ascii="Times New Roman" w:hAnsi="Times New Roman"/>
          <w:noProof/>
          <w:sz w:val="24"/>
        </w:rPr>
        <w:t xml:space="preserve">  Прилагането на политиката след 2014 г. значително ще подобри тази ситуация.  На фигура 4 е показано очакваното развитие между базовата за Директивата относно НТЕ 2005 година и целевата 2030 година, което се основава на </w:t>
      </w:r>
      <w:r>
        <w:rPr>
          <w:rFonts w:ascii="Times New Roman" w:hAnsi="Times New Roman"/>
          <w:noProof/>
          <w:sz w:val="24"/>
        </w:rPr>
        <w:t xml:space="preserve">допускането за цялостно прилагане на тази директива. Делът на населението, изложено на концентрации, надвишаващи препоръчителната пределно допустима стойност, се променя от 88 % през 2005 г. на 13 % през 2030 г., като превишенията са ограничени до няколко </w:t>
      </w:r>
      <w:r>
        <w:rPr>
          <w:rFonts w:ascii="Times New Roman" w:hAnsi="Times New Roman"/>
          <w:noProof/>
          <w:sz w:val="24"/>
        </w:rPr>
        <w:t>зони в Европа и в повечето от тях те ще са в рамките на 5 μg/m</w:t>
      </w:r>
      <w:r>
        <w:rPr>
          <w:rFonts w:ascii="Times New Roman" w:hAnsi="Times New Roman"/>
          <w:noProof/>
          <w:sz w:val="24"/>
          <w:vertAlign w:val="superscript"/>
        </w:rPr>
        <w:t>3</w:t>
      </w:r>
      <w:r>
        <w:rPr>
          <w:rFonts w:ascii="Times New Roman" w:hAnsi="Times New Roman"/>
          <w:noProof/>
          <w:sz w:val="24"/>
        </w:rPr>
        <w:t>. Така до 2030 г. по-голяма част от концентрациите в градовете биха спаднали на нивото на препоръчителната пределно допустима стойност на СЗО или под нея, и макар че на някои места проблемите щ</w:t>
      </w:r>
      <w:r>
        <w:rPr>
          <w:rFonts w:ascii="Times New Roman" w:hAnsi="Times New Roman"/>
          <w:noProof/>
          <w:sz w:val="24"/>
        </w:rPr>
        <w:t>е продължат да съществуват, те биха могли да бъдат решени чрез въвеждането на мерки на местно равнище, които не са включени в анализа, на който се основава настоящият доклад.</w:t>
      </w:r>
    </w:p>
    <w:p w:rsidR="006E4266" w:rsidRDefault="00E56073">
      <w:pPr>
        <w:pageBreakBefore/>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4: Разпределение на експозицията на населението в ЕС на различни нива на к</w:t>
      </w:r>
      <w:r>
        <w:rPr>
          <w:rFonts w:ascii="Times New Roman" w:hAnsi="Times New Roman"/>
          <w:b/>
          <w:noProof/>
        </w:rPr>
        <w:t>онцентрация на PM</w:t>
      </w:r>
      <w:r>
        <w:rPr>
          <w:rFonts w:ascii="Times New Roman" w:hAnsi="Times New Roman"/>
          <w:b/>
          <w:noProof/>
          <w:vertAlign w:val="subscript"/>
        </w:rPr>
        <w:t>2,5</w:t>
      </w:r>
      <w:r>
        <w:rPr>
          <w:rFonts w:ascii="Times New Roman" w:hAnsi="Times New Roman"/>
          <w:b/>
          <w:noProof/>
        </w:rPr>
        <w:t xml:space="preserve"> през 2005 г. и през 2030 г. при хипотезата за пълно прилагане на изискванията за намаляване на емисиите по Директивата относно НТЕ и на цялото законодателство за намаляване на емисиите при източника</w:t>
      </w:r>
    </w:p>
    <w:p w:rsidR="006E4266" w:rsidRDefault="00E56073">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5761355" cy="3756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1355" cy="3756380"/>
                    </a:xfrm>
                    <a:prstGeom prst="rect">
                      <a:avLst/>
                    </a:prstGeom>
                    <a:noFill/>
                    <a:ln>
                      <a:noFill/>
                    </a:ln>
                  </pic:spPr>
                </pic:pic>
              </a:graphicData>
            </a:graphic>
          </wp:inline>
        </w:drawing>
      </w:r>
    </w:p>
    <w:p w:rsidR="006E4266" w:rsidRDefault="00E56073">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Превишаване на критичните натоварв</w:t>
      </w:r>
      <w:r>
        <w:rPr>
          <w:rFonts w:ascii="Times New Roman" w:hAnsi="Times New Roman"/>
          <w:b/>
          <w:noProof/>
          <w:sz w:val="24"/>
        </w:rPr>
        <w:t>ания</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Най-значително въздействие върху околната среда по отношение на качеството на въздуха се оказва еутрофикацията на земните и водните екосистеми.  То се определя като превишаване на „критичните натоварвания“ на отлагане — максималното замърсяване от отл</w:t>
      </w:r>
      <w:r>
        <w:rPr>
          <w:rFonts w:ascii="Times New Roman" w:hAnsi="Times New Roman"/>
          <w:noProof/>
          <w:sz w:val="24"/>
        </w:rPr>
        <w:t>агане, което екосистемата може да понесе без неблагоприятни въздействия върху околната среда.  На фигура 5 по-долу е показано намаление с 27 % на площите на засегнатите от еутрофикацията екосистеми между 2005 г. и 2030 г. в резултат от прилагането на Дирек</w:t>
      </w:r>
      <w:r>
        <w:rPr>
          <w:rFonts w:ascii="Times New Roman" w:hAnsi="Times New Roman"/>
          <w:noProof/>
          <w:sz w:val="24"/>
        </w:rPr>
        <w:t>тивата относно НТЕ.</w:t>
      </w:r>
    </w:p>
    <w:p w:rsidR="006E4266" w:rsidRDefault="00E56073">
      <w:pPr>
        <w:pageBreakBefore/>
        <w:rPr>
          <w:rFonts w:ascii="Times New Roman" w:eastAsia="Times New Roman" w:hAnsi="Times New Roman" w:cs="Times New Roman"/>
          <w:b/>
          <w:noProof/>
        </w:rPr>
      </w:pPr>
      <w:r>
        <w:rPr>
          <w:rFonts w:ascii="Times New Roman" w:hAnsi="Times New Roman"/>
          <w:b/>
          <w:noProof/>
        </w:rPr>
        <w:t xml:space="preserve">Фигура 5: Процент </w:t>
      </w:r>
      <w:r>
        <w:rPr>
          <w:rFonts w:ascii="Times New Roman" w:hAnsi="Times New Roman"/>
          <w:b/>
          <w:noProof/>
          <w:lang w:val="bg-BG"/>
        </w:rPr>
        <w:t xml:space="preserve">от площта на </w:t>
      </w:r>
      <w:r>
        <w:rPr>
          <w:rFonts w:ascii="Times New Roman" w:hAnsi="Times New Roman"/>
          <w:b/>
          <w:noProof/>
        </w:rPr>
        <w:t>екосистеми</w:t>
      </w:r>
      <w:r>
        <w:rPr>
          <w:rFonts w:ascii="Times New Roman" w:hAnsi="Times New Roman"/>
          <w:b/>
          <w:noProof/>
          <w:lang w:val="bg-BG"/>
        </w:rPr>
        <w:t>те</w:t>
      </w:r>
      <w:r>
        <w:rPr>
          <w:rFonts w:ascii="Times New Roman" w:hAnsi="Times New Roman"/>
          <w:b/>
          <w:noProof/>
        </w:rPr>
        <w:t xml:space="preserve"> с отлагане на азот над критичните натоварвания, водещо до еутрофикация (2005 г. вляво, в съпоставка вдясно с прогноза за 2030 г. при пълно прилагане на Директивата относно НТЕ до 2030 г.</w:t>
      </w:r>
      <w:r>
        <w:rPr>
          <w:rFonts w:ascii="Times New Roman" w:hAnsi="Times New Roman"/>
          <w:b/>
          <w:noProof/>
          <w:lang w:val="bg-BG"/>
        </w:rPr>
        <w:t>; на б</w:t>
      </w:r>
      <w:r>
        <w:rPr>
          <w:rFonts w:ascii="Times New Roman" w:hAnsi="Times New Roman"/>
          <w:b/>
          <w:noProof/>
          <w:lang w:val="bg-BG"/>
        </w:rPr>
        <w:t>азата на данни от 2012 г.</w:t>
      </w:r>
      <w:r>
        <w:rPr>
          <w:rFonts w:ascii="Times New Roman" w:hAnsi="Times New Roman"/>
          <w:b/>
          <w:noProof/>
        </w:rPr>
        <w:t>)</w:t>
      </w:r>
    </w:p>
    <w:p w:rsidR="006E4266" w:rsidRDefault="00E56073">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2608580" cy="22593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8580" cy="2259330"/>
                    </a:xfrm>
                    <a:prstGeom prst="rect">
                      <a:avLst/>
                    </a:prstGeom>
                    <a:noFill/>
                    <a:ln>
                      <a:noFill/>
                    </a:ln>
                  </pic:spPr>
                </pic:pic>
              </a:graphicData>
            </a:graphic>
          </wp:inline>
        </w:drawing>
      </w:r>
      <w:r>
        <w:rPr>
          <w:noProof/>
          <w:lang w:val="en-GB" w:eastAsia="en-GB"/>
        </w:rPr>
        <w:drawing>
          <wp:inline distT="0" distB="0" distL="0" distR="0">
            <wp:extent cx="2590800" cy="22409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90800" cy="224091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46"/>
        <w:gridCol w:w="1802"/>
      </w:tblGrid>
      <w:tr w:rsidR="006E4266">
        <w:trPr>
          <w:trHeight w:val="267"/>
        </w:trPr>
        <w:tc>
          <w:tcPr>
            <w:tcW w:w="346" w:type="dxa"/>
            <w:shd w:val="clear" w:color="auto" w:fill="DBF1F9"/>
          </w:tcPr>
          <w:p w:rsidR="006E4266" w:rsidRDefault="006E4266">
            <w:pPr>
              <w:rPr>
                <w:noProof/>
                <w:color w:val="DBE5F1"/>
                <w:sz w:val="16"/>
                <w:szCs w:val="16"/>
              </w:rPr>
            </w:pPr>
          </w:p>
        </w:tc>
        <w:tc>
          <w:tcPr>
            <w:tcW w:w="1802" w:type="dxa"/>
          </w:tcPr>
          <w:p w:rsidR="006E4266" w:rsidRDefault="00E56073">
            <w:pPr>
              <w:rPr>
                <w:noProof/>
                <w:sz w:val="16"/>
                <w:szCs w:val="16"/>
                <w:lang w:val="bg-BG"/>
              </w:rPr>
            </w:pPr>
            <w:r>
              <w:rPr>
                <w:noProof/>
                <w:sz w:val="16"/>
              </w:rPr>
              <w:t xml:space="preserve">0 .. </w:t>
            </w:r>
            <w:r>
              <w:rPr>
                <w:noProof/>
                <w:sz w:val="16"/>
                <w:lang w:val="bg-BG"/>
              </w:rPr>
              <w:t>5 проц.</w:t>
            </w:r>
          </w:p>
        </w:tc>
      </w:tr>
      <w:tr w:rsidR="006E4266">
        <w:trPr>
          <w:trHeight w:val="252"/>
        </w:trPr>
        <w:tc>
          <w:tcPr>
            <w:tcW w:w="346" w:type="dxa"/>
            <w:shd w:val="clear" w:color="auto" w:fill="B8CCE4"/>
          </w:tcPr>
          <w:p w:rsidR="006E4266" w:rsidRDefault="006E4266">
            <w:pPr>
              <w:rPr>
                <w:noProof/>
                <w:sz w:val="16"/>
                <w:szCs w:val="16"/>
              </w:rPr>
            </w:pPr>
          </w:p>
        </w:tc>
        <w:tc>
          <w:tcPr>
            <w:tcW w:w="1802" w:type="dxa"/>
          </w:tcPr>
          <w:p w:rsidR="006E4266" w:rsidRDefault="00E56073">
            <w:pPr>
              <w:rPr>
                <w:noProof/>
                <w:sz w:val="16"/>
                <w:szCs w:val="16"/>
              </w:rPr>
            </w:pPr>
            <w:r>
              <w:rPr>
                <w:noProof/>
                <w:sz w:val="16"/>
                <w:lang w:val="bg-BG"/>
              </w:rPr>
              <w:t>5</w:t>
            </w:r>
            <w:r>
              <w:rPr>
                <w:noProof/>
                <w:sz w:val="16"/>
              </w:rPr>
              <w:t xml:space="preserve"> .. 10</w:t>
            </w:r>
          </w:p>
        </w:tc>
      </w:tr>
      <w:tr w:rsidR="006E4266">
        <w:trPr>
          <w:trHeight w:val="267"/>
        </w:trPr>
        <w:tc>
          <w:tcPr>
            <w:tcW w:w="346" w:type="dxa"/>
            <w:shd w:val="clear" w:color="auto" w:fill="95B1D7"/>
          </w:tcPr>
          <w:p w:rsidR="006E4266" w:rsidRDefault="006E4266">
            <w:pPr>
              <w:rPr>
                <w:noProof/>
                <w:sz w:val="16"/>
                <w:szCs w:val="16"/>
              </w:rPr>
            </w:pPr>
          </w:p>
        </w:tc>
        <w:tc>
          <w:tcPr>
            <w:tcW w:w="1802" w:type="dxa"/>
          </w:tcPr>
          <w:p w:rsidR="006E4266" w:rsidRDefault="00E56073">
            <w:pPr>
              <w:rPr>
                <w:noProof/>
                <w:sz w:val="16"/>
                <w:szCs w:val="16"/>
              </w:rPr>
            </w:pPr>
            <w:r>
              <w:rPr>
                <w:noProof/>
                <w:sz w:val="16"/>
              </w:rPr>
              <w:t>10 .. 30</w:t>
            </w:r>
          </w:p>
        </w:tc>
      </w:tr>
      <w:tr w:rsidR="006E4266">
        <w:trPr>
          <w:trHeight w:val="252"/>
        </w:trPr>
        <w:tc>
          <w:tcPr>
            <w:tcW w:w="346" w:type="dxa"/>
            <w:shd w:val="clear" w:color="auto" w:fill="366090"/>
          </w:tcPr>
          <w:p w:rsidR="006E4266" w:rsidRDefault="006E4266">
            <w:pPr>
              <w:rPr>
                <w:noProof/>
                <w:sz w:val="16"/>
                <w:szCs w:val="16"/>
              </w:rPr>
            </w:pPr>
          </w:p>
        </w:tc>
        <w:tc>
          <w:tcPr>
            <w:tcW w:w="1802" w:type="dxa"/>
          </w:tcPr>
          <w:p w:rsidR="006E4266" w:rsidRDefault="00E56073">
            <w:pPr>
              <w:rPr>
                <w:noProof/>
                <w:sz w:val="16"/>
                <w:szCs w:val="16"/>
              </w:rPr>
            </w:pPr>
            <w:r>
              <w:rPr>
                <w:noProof/>
                <w:sz w:val="16"/>
              </w:rPr>
              <w:t>30 .. 70</w:t>
            </w:r>
          </w:p>
        </w:tc>
      </w:tr>
      <w:tr w:rsidR="006E4266">
        <w:trPr>
          <w:trHeight w:val="267"/>
        </w:trPr>
        <w:tc>
          <w:tcPr>
            <w:tcW w:w="346" w:type="dxa"/>
            <w:shd w:val="clear" w:color="auto" w:fill="254673"/>
          </w:tcPr>
          <w:p w:rsidR="006E4266" w:rsidRDefault="006E4266">
            <w:pPr>
              <w:rPr>
                <w:noProof/>
                <w:sz w:val="16"/>
                <w:szCs w:val="16"/>
              </w:rPr>
            </w:pPr>
          </w:p>
        </w:tc>
        <w:tc>
          <w:tcPr>
            <w:tcW w:w="1802" w:type="dxa"/>
          </w:tcPr>
          <w:p w:rsidR="006E4266" w:rsidRDefault="00E56073">
            <w:pPr>
              <w:rPr>
                <w:noProof/>
                <w:sz w:val="16"/>
                <w:szCs w:val="16"/>
              </w:rPr>
            </w:pPr>
            <w:r>
              <w:rPr>
                <w:noProof/>
                <w:sz w:val="16"/>
              </w:rPr>
              <w:t>70 .. 90</w:t>
            </w:r>
          </w:p>
        </w:tc>
      </w:tr>
      <w:tr w:rsidR="006E4266">
        <w:trPr>
          <w:trHeight w:val="252"/>
        </w:trPr>
        <w:tc>
          <w:tcPr>
            <w:tcW w:w="346" w:type="dxa"/>
            <w:shd w:val="clear" w:color="auto" w:fill="17365D"/>
          </w:tcPr>
          <w:p w:rsidR="006E4266" w:rsidRDefault="006E4266">
            <w:pPr>
              <w:rPr>
                <w:noProof/>
                <w:sz w:val="16"/>
                <w:szCs w:val="16"/>
              </w:rPr>
            </w:pPr>
          </w:p>
        </w:tc>
        <w:tc>
          <w:tcPr>
            <w:tcW w:w="1802" w:type="dxa"/>
          </w:tcPr>
          <w:p w:rsidR="006E4266" w:rsidRDefault="00E56073">
            <w:pPr>
              <w:rPr>
                <w:noProof/>
                <w:sz w:val="16"/>
                <w:szCs w:val="16"/>
              </w:rPr>
            </w:pPr>
            <w:r>
              <w:rPr>
                <w:noProof/>
                <w:sz w:val="16"/>
              </w:rPr>
              <w:t>90 .. 95</w:t>
            </w:r>
          </w:p>
        </w:tc>
      </w:tr>
      <w:tr w:rsidR="006E4266">
        <w:trPr>
          <w:trHeight w:val="267"/>
        </w:trPr>
        <w:tc>
          <w:tcPr>
            <w:tcW w:w="346" w:type="dxa"/>
            <w:shd w:val="clear" w:color="auto" w:fill="0F243E"/>
          </w:tcPr>
          <w:p w:rsidR="006E4266" w:rsidRDefault="006E4266">
            <w:pPr>
              <w:rPr>
                <w:noProof/>
                <w:sz w:val="16"/>
                <w:szCs w:val="16"/>
              </w:rPr>
            </w:pPr>
          </w:p>
        </w:tc>
        <w:tc>
          <w:tcPr>
            <w:tcW w:w="1802" w:type="dxa"/>
          </w:tcPr>
          <w:p w:rsidR="006E4266" w:rsidRDefault="00E56073">
            <w:pPr>
              <w:rPr>
                <w:noProof/>
                <w:sz w:val="16"/>
                <w:szCs w:val="16"/>
              </w:rPr>
            </w:pPr>
            <w:r>
              <w:rPr>
                <w:noProof/>
                <w:sz w:val="16"/>
              </w:rPr>
              <w:t>95 ..</w:t>
            </w:r>
          </w:p>
        </w:tc>
      </w:tr>
      <w:tr w:rsidR="006E4266">
        <w:trPr>
          <w:trHeight w:val="267"/>
        </w:trPr>
        <w:tc>
          <w:tcPr>
            <w:tcW w:w="346" w:type="dxa"/>
            <w:shd w:val="clear" w:color="auto" w:fill="B4B4B4"/>
          </w:tcPr>
          <w:p w:rsidR="006E4266" w:rsidRDefault="006E4266">
            <w:pPr>
              <w:rPr>
                <w:noProof/>
                <w:sz w:val="16"/>
                <w:szCs w:val="16"/>
              </w:rPr>
            </w:pPr>
          </w:p>
        </w:tc>
        <w:tc>
          <w:tcPr>
            <w:tcW w:w="1802" w:type="dxa"/>
          </w:tcPr>
          <w:p w:rsidR="006E4266" w:rsidRDefault="00E56073">
            <w:pPr>
              <w:rPr>
                <w:noProof/>
                <w:sz w:val="16"/>
                <w:szCs w:val="16"/>
              </w:rPr>
            </w:pPr>
            <w:r>
              <w:rPr>
                <w:noProof/>
                <w:sz w:val="16"/>
                <w:szCs w:val="16"/>
                <w:lang w:val="bg-BG"/>
              </w:rPr>
              <w:t>липсват данни по „Натура 2000“</w:t>
            </w:r>
            <w:r>
              <w:rPr>
                <w:noProof/>
                <w:sz w:val="16"/>
              </w:rPr>
              <w:t xml:space="preserve">  </w:t>
            </w:r>
          </w:p>
        </w:tc>
      </w:tr>
    </w:tbl>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Прекомерното отлагане на азот е причинено от отлагането на NO</w:t>
      </w:r>
      <w:r>
        <w:rPr>
          <w:rFonts w:ascii="Times New Roman" w:hAnsi="Times New Roman"/>
          <w:noProof/>
          <w:sz w:val="24"/>
          <w:vertAlign w:val="subscript"/>
        </w:rPr>
        <w:t>x</w:t>
      </w:r>
      <w:r>
        <w:rPr>
          <w:rFonts w:ascii="Times New Roman" w:hAnsi="Times New Roman"/>
          <w:noProof/>
          <w:sz w:val="24"/>
        </w:rPr>
        <w:t xml:space="preserve"> и NH</w:t>
      </w:r>
      <w:r>
        <w:rPr>
          <w:rFonts w:ascii="Times New Roman" w:hAnsi="Times New Roman"/>
          <w:noProof/>
          <w:sz w:val="24"/>
          <w:vertAlign w:val="subscript"/>
        </w:rPr>
        <w:t>3</w:t>
      </w:r>
      <w:r>
        <w:rPr>
          <w:rFonts w:ascii="Times New Roman" w:hAnsi="Times New Roman"/>
          <w:noProof/>
          <w:sz w:val="24"/>
        </w:rPr>
        <w:t>. NH</w:t>
      </w:r>
      <w:r>
        <w:rPr>
          <w:rFonts w:ascii="Times New Roman" w:hAnsi="Times New Roman"/>
          <w:noProof/>
          <w:sz w:val="24"/>
          <w:vertAlign w:val="subscript"/>
        </w:rPr>
        <w:t>3</w:t>
      </w:r>
      <w:r>
        <w:rPr>
          <w:rFonts w:ascii="Times New Roman" w:hAnsi="Times New Roman"/>
          <w:noProof/>
          <w:sz w:val="24"/>
        </w:rPr>
        <w:t xml:space="preserve"> преобладава и относителното му значение до 2030 г. ще нарасне допълнително поради относително малкото намаление, което се изисква в Директивата относно НТЕ, в сравнение с това на NOx (19 % спрямо 66 %).</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същото време съществува потенциал за допълнително </w:t>
      </w:r>
      <w:r>
        <w:rPr>
          <w:rFonts w:ascii="Times New Roman" w:hAnsi="Times New Roman"/>
          <w:noProof/>
          <w:sz w:val="24"/>
        </w:rPr>
        <w:t>намаление на NH</w:t>
      </w:r>
      <w:r>
        <w:rPr>
          <w:rFonts w:ascii="Times New Roman" w:hAnsi="Times New Roman"/>
          <w:noProof/>
          <w:sz w:val="24"/>
          <w:vertAlign w:val="subscript"/>
        </w:rPr>
        <w:t>3</w:t>
      </w:r>
      <w:r>
        <w:rPr>
          <w:rFonts w:ascii="Times New Roman" w:hAnsi="Times New Roman"/>
          <w:noProof/>
          <w:sz w:val="24"/>
        </w:rPr>
        <w:t>. Цялостното прилагане на достъпните към момента технически мерки ще намали прекомерното отлагане с повече от 75 %. Макар че това няма да реши навсякъде проблема с критичните натоварвания, възможно е да се постигнат допълнителни подобрения,</w:t>
      </w:r>
      <w:r>
        <w:rPr>
          <w:rFonts w:ascii="Times New Roman" w:hAnsi="Times New Roman"/>
          <w:noProof/>
          <w:sz w:val="24"/>
        </w:rPr>
        <w:t xml:space="preserve"> които не са били взети под внимание при използваното за настоящия доклад моделиране, по-специално контролът на емисиите от големи точкови източници в близост до чувствителни екосистеми и структурните промени в производството, свързани с по-широкообхватни </w:t>
      </w:r>
      <w:r>
        <w:rPr>
          <w:rFonts w:ascii="Times New Roman" w:hAnsi="Times New Roman"/>
          <w:noProof/>
          <w:sz w:val="24"/>
        </w:rPr>
        <w:t>социални съображения за постигане на здравословно хранене.</w:t>
      </w:r>
    </w:p>
    <w:p w:rsidR="006E4266" w:rsidRDefault="00E56073">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Краткотрайни атмосферни замърсители</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Саждите, метанът и озонът са важни както за качеството на въздуха, така и за климата.</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Директивата относно НТЕ от държавите членки се изисква да предприемат при</w:t>
      </w:r>
      <w:r>
        <w:rPr>
          <w:rFonts w:ascii="Times New Roman" w:hAnsi="Times New Roman"/>
          <w:noProof/>
          <w:sz w:val="24"/>
        </w:rPr>
        <w:t>оритетни мерки за намаляване на емисиите на сажди при изпълнение на задълженията за намаление на PM</w:t>
      </w:r>
      <w:r>
        <w:rPr>
          <w:rFonts w:ascii="Times New Roman" w:hAnsi="Times New Roman"/>
          <w:noProof/>
          <w:sz w:val="24"/>
          <w:vertAlign w:val="subscript"/>
        </w:rPr>
        <w:t>2,5.</w:t>
      </w:r>
      <w:r>
        <w:rPr>
          <w:rFonts w:ascii="Times New Roman" w:hAnsi="Times New Roman"/>
          <w:noProof/>
          <w:sz w:val="24"/>
        </w:rPr>
        <w:t xml:space="preserve">  До 2030 г. мерките за намаляване на емисиите на PM</w:t>
      </w:r>
      <w:r>
        <w:rPr>
          <w:rFonts w:ascii="Times New Roman" w:hAnsi="Times New Roman"/>
          <w:noProof/>
          <w:sz w:val="24"/>
          <w:vertAlign w:val="subscript"/>
        </w:rPr>
        <w:t xml:space="preserve">2,5 </w:t>
      </w:r>
      <w:r>
        <w:rPr>
          <w:rFonts w:ascii="Times New Roman" w:hAnsi="Times New Roman"/>
          <w:noProof/>
          <w:sz w:val="24"/>
        </w:rPr>
        <w:t>(произхождащи например от изгаряне на твърдо гориво в домашни условия, от замърсяване с прахови ч</w:t>
      </w:r>
      <w:r>
        <w:rPr>
          <w:rFonts w:ascii="Times New Roman" w:hAnsi="Times New Roman"/>
          <w:noProof/>
          <w:sz w:val="24"/>
        </w:rPr>
        <w:t>астици от дизеловите автомобили, от изгаряне на определени видове селскостопански отпадъци и от производство на енергия) също ще доведат до намаляване на емисиите на сажди със 72 % в целия ЕС.</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Метанът и озонът са тясно свързани, тъй като метанът има значит</w:t>
      </w:r>
      <w:r>
        <w:rPr>
          <w:rFonts w:ascii="Times New Roman" w:hAnsi="Times New Roman"/>
          <w:noProof/>
          <w:sz w:val="24"/>
        </w:rPr>
        <w:t>елен принос за фоновите концентрации на озон. Поради дългото време на живот на метана в атмосферата той се пренася на далечни разстояния над северното полукълбо, като емисиите в САЩ, Китай и Индия оказват влияние върху концентрациите в ЕС и обратно. По-къс</w:t>
      </w:r>
      <w:r>
        <w:rPr>
          <w:rFonts w:ascii="Times New Roman" w:hAnsi="Times New Roman"/>
          <w:noProof/>
          <w:sz w:val="24"/>
        </w:rPr>
        <w:t>но през годината Съвместният изследователски център ще представи технически доклад за емисиите на метан и техния ефект върху озона.  Въз основа на доклада през 2019 г. Европейската комисия ще изготви оценка на потенциала за намаляване на емисиите в северно</w:t>
      </w:r>
      <w:r>
        <w:rPr>
          <w:rFonts w:ascii="Times New Roman" w:hAnsi="Times New Roman"/>
          <w:noProof/>
          <w:sz w:val="24"/>
        </w:rPr>
        <w:t>то полукълбо и тяхното въздействие върху концентрациите с оглед на идентифициране на подходящи цели за намаляване на метана в контекста на бъдещия подход по отношение на северното полукълбо в сътрудничество с Конвенцията на ИКЕ на ООН относно трансгранично</w:t>
      </w:r>
      <w:r>
        <w:rPr>
          <w:rFonts w:ascii="Times New Roman" w:hAnsi="Times New Roman"/>
          <w:noProof/>
          <w:sz w:val="24"/>
        </w:rPr>
        <w:t xml:space="preserve"> замърсяване на въздуха на далечни разстояния, Коалицията за климата и за чист въздух и Глобалната инициатива за намаляване на метановите емисии, както е уместно.</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Възможно е проблемът с концентрациите на озон да се изостри при повишаването на температурата</w:t>
      </w:r>
      <w:r>
        <w:rPr>
          <w:rFonts w:ascii="Times New Roman" w:hAnsi="Times New Roman"/>
          <w:noProof/>
          <w:sz w:val="24"/>
        </w:rPr>
        <w:t xml:space="preserve"> в резултат от изменението на климата и това следва да се има предвид при оценката и смекчаването на последиците от замърсяването на въздуха в дългосрочен план.</w:t>
      </w:r>
    </w:p>
    <w:p w:rsidR="006E4266" w:rsidRDefault="00E56073">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bookmarkStart w:id="9" w:name="_Toc359596090"/>
      <w:r>
        <w:rPr>
          <w:rFonts w:ascii="Times New Roman" w:hAnsi="Times New Roman"/>
          <w:b/>
          <w:smallCaps/>
          <w:noProof/>
          <w:sz w:val="24"/>
        </w:rPr>
        <w:t>Международно измерение</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Приемането на Директивата относно НТЕ даде възможност на ЕС през август </w:t>
      </w:r>
      <w:r>
        <w:rPr>
          <w:rFonts w:ascii="Times New Roman" w:hAnsi="Times New Roman"/>
          <w:noProof/>
          <w:sz w:val="24"/>
        </w:rPr>
        <w:t>2017 г. да ратифицира преразгледания през 2012 г. Протокол от Гьотеборг.  Ратифицирането от държавите членки може да доведе до влизане в сила на преразгледания протокол;  той е ратифициран досега от осем държави членки</w:t>
      </w:r>
      <w:r>
        <w:rPr>
          <w:rFonts w:ascii="Times New Roman" w:hAnsi="Times New Roman"/>
          <w:noProof/>
          <w:sz w:val="24"/>
          <w:vertAlign w:val="superscript"/>
        </w:rPr>
        <w:footnoteReference w:id="36"/>
      </w:r>
      <w:r>
        <w:rPr>
          <w:rFonts w:ascii="Times New Roman" w:hAnsi="Times New Roman"/>
          <w:noProof/>
          <w:sz w:val="24"/>
        </w:rPr>
        <w:t xml:space="preserve"> и Европейската комисия насърчава всички останали да го ратифицират възможно най-скоро.</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Основната цел на ЕС продължава да бъде да стимулира по-широкото ратифициране на протокола от страни извън ЕС, по-специално от страните от Източна Европа, Кавказкия </w:t>
      </w:r>
      <w:r>
        <w:rPr>
          <w:rFonts w:ascii="Times New Roman" w:hAnsi="Times New Roman"/>
          <w:noProof/>
          <w:sz w:val="24"/>
        </w:rPr>
        <w:t>регион и Централна Азия (ИЕКЦА). В преработения протокол са включени гъвкави разпоредби за държавите от ИЕКЦА с цел насърчаване на ратифицирането, но те са приложими само ако протоколът влезе в сила преди 2020 г. — друга важна причина държавите членки да г</w:t>
      </w:r>
      <w:r>
        <w:rPr>
          <w:rFonts w:ascii="Times New Roman" w:hAnsi="Times New Roman"/>
          <w:noProof/>
          <w:sz w:val="24"/>
        </w:rPr>
        <w:t>о ратифицират бързо.</w:t>
      </w: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Европейската комисия ще продължи да развива дейността си за подпомагане на съседните държави по отношение на политиката за качество на въздуха и по-специално чрез Инструмента за предприсъединителна помощ (IPA) и Европейския инструмент </w:t>
      </w:r>
      <w:r>
        <w:rPr>
          <w:rFonts w:ascii="Times New Roman" w:hAnsi="Times New Roman"/>
          <w:noProof/>
          <w:sz w:val="24"/>
        </w:rPr>
        <w:t>за съседство (ENI). Споделянето на опит извън ЕС и ИКЕ на ООН е също приоритет и ЕС успешно се застъпи за по-широко регионално и междурегионално сътрудничество на Третата асамблея на ООН за околната среда (състояла се през декември 2017 г.) и ще продължи д</w:t>
      </w:r>
      <w:r>
        <w:rPr>
          <w:rFonts w:ascii="Times New Roman" w:hAnsi="Times New Roman"/>
          <w:noProof/>
          <w:sz w:val="24"/>
        </w:rPr>
        <w:t>а развива такова сътрудничество на двустранна основа. Европейската комисия финансира също така оценката на Програмата за наблюдение и оценка в Арктика (AMAP) за потенциала за намаляване на емисиите на сажди в региона.</w:t>
      </w:r>
    </w:p>
    <w:p w:rsidR="006E4266" w:rsidRDefault="00E56073">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Заключения</w:t>
      </w:r>
      <w:bookmarkEnd w:id="9"/>
      <w:r>
        <w:rPr>
          <w:rFonts w:ascii="Times New Roman" w:hAnsi="Times New Roman"/>
          <w:b/>
          <w:smallCaps/>
          <w:noProof/>
          <w:sz w:val="24"/>
        </w:rPr>
        <w:t xml:space="preserve"> </w:t>
      </w:r>
    </w:p>
    <w:p w:rsidR="006E4266" w:rsidRDefault="00E56073">
      <w:pPr>
        <w:pStyle w:val="ListParagraph"/>
        <w:numPr>
          <w:ilvl w:val="0"/>
          <w:numId w:val="4"/>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Като положителен факт може</w:t>
      </w:r>
      <w:r>
        <w:rPr>
          <w:rFonts w:ascii="Times New Roman" w:hAnsi="Times New Roman"/>
          <w:noProof/>
          <w:sz w:val="24"/>
        </w:rPr>
        <w:t xml:space="preserve"> да се отбележи, че се очаква съвместното въздействие на </w:t>
      </w:r>
      <w:r>
        <w:rPr>
          <w:rFonts w:ascii="Times New Roman" w:hAnsi="Times New Roman"/>
          <w:b/>
          <w:noProof/>
          <w:sz w:val="24"/>
        </w:rPr>
        <w:t>мерките от пакета, приет от съзаконодателите след въвеждането през 2013 г. на Програмата за чист въздух</w:t>
      </w:r>
      <w:r>
        <w:rPr>
          <w:rFonts w:ascii="Times New Roman" w:hAnsi="Times New Roman"/>
          <w:noProof/>
          <w:sz w:val="24"/>
        </w:rPr>
        <w:t xml:space="preserve"> — т.е. не само Директивата относно НТЕ, но и Директивата относно СГИ, преработения Регламент за</w:t>
      </w:r>
      <w:r>
        <w:rPr>
          <w:rFonts w:ascii="Times New Roman" w:hAnsi="Times New Roman"/>
          <w:noProof/>
          <w:sz w:val="24"/>
        </w:rPr>
        <w:t xml:space="preserve"> извънпътната подвижна техника и мерките за изпълнение на ДЕП, както и Директивата за екопроектирането — </w:t>
      </w:r>
      <w:r>
        <w:rPr>
          <w:rFonts w:ascii="Times New Roman" w:hAnsi="Times New Roman"/>
          <w:b/>
          <w:noProof/>
          <w:sz w:val="24"/>
        </w:rPr>
        <w:t>да доведе в 2030 г. до намаляване на вредното въздействие върху здравето с повече от зададените в Програмата 52 %, а концентрациите на PM</w:t>
      </w:r>
      <w:r>
        <w:rPr>
          <w:rFonts w:ascii="Times New Roman" w:hAnsi="Times New Roman"/>
          <w:b/>
          <w:noProof/>
          <w:sz w:val="24"/>
          <w:vertAlign w:val="subscript"/>
        </w:rPr>
        <w:t xml:space="preserve">2,5 </w:t>
      </w:r>
      <w:r>
        <w:rPr>
          <w:rFonts w:ascii="Times New Roman" w:hAnsi="Times New Roman"/>
          <w:b/>
          <w:noProof/>
          <w:sz w:val="24"/>
        </w:rPr>
        <w:t>в по-голям</w:t>
      </w:r>
      <w:r>
        <w:rPr>
          <w:rFonts w:ascii="Times New Roman" w:hAnsi="Times New Roman"/>
          <w:b/>
          <w:noProof/>
          <w:sz w:val="24"/>
        </w:rPr>
        <w:t>ата част от ЕС да достигнат нива под препоръчаните от СЗО пределно допустими стойности.</w:t>
      </w:r>
    </w:p>
    <w:p w:rsidR="006E4266" w:rsidRDefault="006E4266">
      <w:pPr>
        <w:pStyle w:val="ListParagraph"/>
        <w:spacing w:before="120" w:after="120" w:line="240" w:lineRule="auto"/>
        <w:jc w:val="both"/>
        <w:rPr>
          <w:rFonts w:ascii="Times New Roman" w:eastAsia="Times New Roman" w:hAnsi="Times New Roman" w:cs="Times New Roman"/>
          <w:noProof/>
          <w:sz w:val="24"/>
          <w:szCs w:val="20"/>
        </w:rPr>
      </w:pPr>
    </w:p>
    <w:p w:rsidR="006E4266" w:rsidRDefault="00E56073">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Все пак е</w:t>
      </w:r>
      <w:r>
        <w:rPr>
          <w:rFonts w:ascii="Times New Roman" w:hAnsi="Times New Roman"/>
          <w:b/>
          <w:noProof/>
          <w:sz w:val="24"/>
        </w:rPr>
        <w:t xml:space="preserve"> спешно необходимо в краткосрочен план да бъдат предприети решителни действия за постигане на целите на директивите за качеството на атмосферния въздух</w:t>
      </w:r>
      <w:r>
        <w:rPr>
          <w:rFonts w:ascii="Times New Roman" w:hAnsi="Times New Roman"/>
          <w:noProof/>
          <w:sz w:val="24"/>
        </w:rPr>
        <w:t xml:space="preserve"> на вси</w:t>
      </w:r>
      <w:r>
        <w:rPr>
          <w:rFonts w:ascii="Times New Roman" w:hAnsi="Times New Roman"/>
          <w:noProof/>
          <w:sz w:val="24"/>
        </w:rPr>
        <w:t xml:space="preserve">чки равнища на управление (национални, областни, местни) и с пълно участие от страна на участниците на пазара, както е подчертано в наскоро публикуваното съобщение </w:t>
      </w:r>
      <w:r>
        <w:rPr>
          <w:rFonts w:ascii="Times New Roman" w:hAnsi="Times New Roman" w:cs="Times New Roman"/>
          <w:noProof/>
          <w:sz w:val="24"/>
        </w:rPr>
        <w:t>„</w:t>
      </w:r>
      <w:r>
        <w:rPr>
          <w:rFonts w:ascii="Times New Roman" w:hAnsi="Times New Roman"/>
          <w:noProof/>
          <w:sz w:val="24"/>
        </w:rPr>
        <w:t>Европа, която закриля: чист въздух за всички</w:t>
      </w:r>
      <w:r>
        <w:rPr>
          <w:rFonts w:ascii="Times New Roman" w:hAnsi="Times New Roman" w:cs="Times New Roman"/>
          <w:noProof/>
          <w:sz w:val="24"/>
        </w:rPr>
        <w:t>“</w:t>
      </w:r>
      <w:r>
        <w:rPr>
          <w:rFonts w:ascii="Times New Roman" w:eastAsia="Times New Roman" w:hAnsi="Times New Roman" w:cs="Times New Roman"/>
          <w:noProof/>
          <w:sz w:val="24"/>
          <w:szCs w:val="20"/>
          <w:lang w:val="en-GB" w:eastAsia="en-GB"/>
        </w:rPr>
        <w:footnoteReference w:id="37"/>
      </w:r>
      <w:r>
        <w:rPr>
          <w:rFonts w:ascii="Times New Roman" w:hAnsi="Times New Roman"/>
          <w:noProof/>
          <w:sz w:val="24"/>
        </w:rPr>
        <w:t xml:space="preserve">.  Дори и в дългосрочен план </w:t>
      </w:r>
      <w:r>
        <w:rPr>
          <w:rFonts w:ascii="Times New Roman" w:hAnsi="Times New Roman"/>
          <w:b/>
          <w:noProof/>
          <w:sz w:val="24"/>
        </w:rPr>
        <w:t>ще са необходими</w:t>
      </w:r>
      <w:r>
        <w:rPr>
          <w:rFonts w:ascii="Times New Roman" w:hAnsi="Times New Roman"/>
          <w:b/>
          <w:noProof/>
          <w:sz w:val="24"/>
        </w:rPr>
        <w:t xml:space="preserve"> допълнителни действия на всички тези равнища, за да се осигури изпълнение на дългосрочните цели на ЕС навсякъде в Европа.</w:t>
      </w:r>
    </w:p>
    <w:p w:rsidR="006E4266" w:rsidRDefault="006E4266">
      <w:pPr>
        <w:pStyle w:val="ListParagraph"/>
        <w:rPr>
          <w:rFonts w:ascii="Times New Roman" w:eastAsia="Times New Roman" w:hAnsi="Times New Roman" w:cs="Times New Roman"/>
          <w:noProof/>
          <w:sz w:val="24"/>
          <w:szCs w:val="20"/>
        </w:rPr>
      </w:pPr>
    </w:p>
    <w:p w:rsidR="006E4266" w:rsidRDefault="00E56073">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Въздействието към 2030 г. зависи от </w:t>
      </w:r>
      <w:r>
        <w:rPr>
          <w:rFonts w:ascii="Times New Roman" w:hAnsi="Times New Roman"/>
          <w:b/>
          <w:noProof/>
          <w:sz w:val="24"/>
        </w:rPr>
        <w:t xml:space="preserve">цялостното прилагане от държавите членки на всички мерки, и по-специално на стабилни национални </w:t>
      </w:r>
      <w:r>
        <w:rPr>
          <w:rFonts w:ascii="Times New Roman" w:hAnsi="Times New Roman"/>
          <w:b/>
          <w:noProof/>
          <w:sz w:val="24"/>
        </w:rPr>
        <w:t>програми за контрол на замърсяването на въздуха за изпълнение на задълженията за намаляване на емисиите съгласно Директивата относно НТЕ.</w:t>
      </w:r>
      <w:r>
        <w:rPr>
          <w:rFonts w:ascii="Times New Roman" w:hAnsi="Times New Roman"/>
          <w:noProof/>
          <w:sz w:val="24"/>
        </w:rPr>
        <w:t xml:space="preserve"> Това изисква ефективна координация на тези програми с изпълнението на други политики, наред с другото, с мерките на Ен</w:t>
      </w:r>
      <w:r>
        <w:rPr>
          <w:rFonts w:ascii="Times New Roman" w:hAnsi="Times New Roman"/>
          <w:noProof/>
          <w:sz w:val="24"/>
        </w:rPr>
        <w:t xml:space="preserve">ергийния съюз в областта на климата/енергетиката, политиката в областта на автомобилния транспорт и предстоящата реформа на Общата селскостопанска политика.  </w:t>
      </w:r>
      <w:r>
        <w:rPr>
          <w:rFonts w:ascii="Times New Roman" w:hAnsi="Times New Roman"/>
          <w:b/>
          <w:noProof/>
          <w:sz w:val="24"/>
        </w:rPr>
        <w:t>Усвояването на значителната финансова помощ, предоставяна от ЕС, също ще улесни в голяма степен пр</w:t>
      </w:r>
      <w:r>
        <w:rPr>
          <w:rFonts w:ascii="Times New Roman" w:hAnsi="Times New Roman"/>
          <w:b/>
          <w:noProof/>
          <w:sz w:val="24"/>
        </w:rPr>
        <w:t>илагането</w:t>
      </w:r>
      <w:r>
        <w:rPr>
          <w:rFonts w:ascii="Times New Roman" w:hAnsi="Times New Roman"/>
          <w:noProof/>
          <w:sz w:val="24"/>
        </w:rPr>
        <w:t>.</w:t>
      </w:r>
    </w:p>
    <w:p w:rsidR="006E4266" w:rsidRDefault="006E4266">
      <w:pPr>
        <w:pStyle w:val="ListParagraph"/>
        <w:rPr>
          <w:rFonts w:ascii="Times New Roman" w:eastAsia="Times New Roman" w:hAnsi="Times New Roman" w:cs="Times New Roman"/>
          <w:noProof/>
          <w:sz w:val="24"/>
          <w:szCs w:val="20"/>
        </w:rPr>
      </w:pPr>
    </w:p>
    <w:p w:rsidR="006E4266" w:rsidRDefault="00E56073">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Макар че за повечето сектори и замърсители законодателството за намаляване на емисиите при източника значително съдейства за изпълнението на Директивата относно НТЕ, </w:t>
      </w:r>
      <w:r>
        <w:rPr>
          <w:rFonts w:ascii="Times New Roman" w:hAnsi="Times New Roman"/>
          <w:b/>
          <w:noProof/>
          <w:sz w:val="24"/>
        </w:rPr>
        <w:t>емисиите на NH</w:t>
      </w:r>
      <w:r>
        <w:rPr>
          <w:rFonts w:ascii="Times New Roman" w:hAnsi="Times New Roman"/>
          <w:b/>
          <w:noProof/>
          <w:sz w:val="24"/>
          <w:vertAlign w:val="subscript"/>
        </w:rPr>
        <w:t>3</w:t>
      </w:r>
      <w:r>
        <w:rPr>
          <w:rFonts w:ascii="Times New Roman" w:hAnsi="Times New Roman"/>
          <w:b/>
          <w:noProof/>
          <w:sz w:val="24"/>
        </w:rPr>
        <w:t xml:space="preserve"> в селското стопанство са изключение в това отношение</w:t>
      </w:r>
      <w:r>
        <w:rPr>
          <w:rFonts w:ascii="Times New Roman" w:hAnsi="Times New Roman"/>
          <w:noProof/>
          <w:sz w:val="24"/>
        </w:rPr>
        <w:t xml:space="preserve">. </w:t>
      </w:r>
      <w:r>
        <w:rPr>
          <w:rFonts w:ascii="Times New Roman" w:hAnsi="Times New Roman"/>
          <w:b/>
          <w:noProof/>
          <w:sz w:val="24"/>
        </w:rPr>
        <w:t>За да се</w:t>
      </w:r>
      <w:r>
        <w:rPr>
          <w:rFonts w:ascii="Times New Roman" w:hAnsi="Times New Roman"/>
          <w:b/>
          <w:noProof/>
          <w:sz w:val="24"/>
        </w:rPr>
        <w:t xml:space="preserve"> постигнат изискваните намаления на емисиите ще бъде необходимо ефективно ангажиране на този сектор.</w:t>
      </w:r>
      <w:r>
        <w:rPr>
          <w:rFonts w:ascii="Times New Roman" w:hAnsi="Times New Roman"/>
          <w:noProof/>
          <w:sz w:val="24"/>
        </w:rPr>
        <w:t xml:space="preserve">  Дори в този случай, както показва настоящият анализ, ЕС ще бъде далеч от постигането на дългосрочната си цел за непревишаване на критичните натоварвания п</w:t>
      </w:r>
      <w:r>
        <w:rPr>
          <w:rFonts w:ascii="Times New Roman" w:hAnsi="Times New Roman"/>
          <w:noProof/>
          <w:sz w:val="24"/>
        </w:rPr>
        <w:t xml:space="preserve">о отношение на еутрофикацията, но съществува значителен допълнителен потенциал за намаляване на тези емисии, който би могъл да придвижи ЕС много по-близо към целта. </w:t>
      </w:r>
      <w:r>
        <w:rPr>
          <w:rFonts w:ascii="Times New Roman" w:hAnsi="Times New Roman"/>
          <w:b/>
          <w:noProof/>
          <w:sz w:val="24"/>
        </w:rPr>
        <w:t>Европейската комисия ще продължи да подкрепя националните усилия в това отношение, включите</w:t>
      </w:r>
      <w:r>
        <w:rPr>
          <w:rFonts w:ascii="Times New Roman" w:hAnsi="Times New Roman"/>
          <w:b/>
          <w:noProof/>
          <w:sz w:val="24"/>
        </w:rPr>
        <w:t xml:space="preserve">лно чрез максимално използване на финансирането по линия на Общата селскостопанска политика и насърчаване на положителни взаимодействия с прилагането на съответното законодателство на ЕС, като например Директива 91/676/ЕИО за нитратите.    </w:t>
      </w:r>
    </w:p>
    <w:p w:rsidR="006E4266" w:rsidRDefault="006E4266">
      <w:pPr>
        <w:pStyle w:val="ListParagraph"/>
        <w:spacing w:before="120" w:after="120" w:line="240" w:lineRule="auto"/>
        <w:jc w:val="both"/>
        <w:rPr>
          <w:rFonts w:ascii="Times New Roman" w:eastAsia="Times New Roman" w:hAnsi="Times New Roman" w:cs="Times New Roman"/>
          <w:noProof/>
          <w:sz w:val="24"/>
          <w:szCs w:val="20"/>
        </w:rPr>
      </w:pPr>
    </w:p>
    <w:p w:rsidR="006E4266" w:rsidRDefault="00E56073">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Както е изтъкн</w:t>
      </w:r>
      <w:r>
        <w:rPr>
          <w:rFonts w:ascii="Times New Roman" w:hAnsi="Times New Roman"/>
          <w:noProof/>
          <w:sz w:val="24"/>
        </w:rPr>
        <w:t xml:space="preserve">ато от Европейската комисия при приемане на новата Директива за НТЕ, </w:t>
      </w:r>
      <w:r>
        <w:rPr>
          <w:rFonts w:ascii="Times New Roman" w:hAnsi="Times New Roman"/>
          <w:b/>
          <w:noProof/>
          <w:sz w:val="24"/>
        </w:rPr>
        <w:t>метановите емисии също следва да бъдат преразглеждани предвид тяхното въздействие върху концентрациите на озон в ЕС и да се насърчава намаляване на метановите емисии в международен план.</w:t>
      </w:r>
      <w:r>
        <w:rPr>
          <w:rFonts w:ascii="Times New Roman" w:hAnsi="Times New Roman"/>
          <w:noProof/>
          <w:sz w:val="24"/>
        </w:rPr>
        <w:t xml:space="preserve"> </w:t>
      </w:r>
      <w:r>
        <w:rPr>
          <w:rFonts w:ascii="Times New Roman" w:hAnsi="Times New Roman"/>
          <w:noProof/>
          <w:sz w:val="24"/>
        </w:rPr>
        <w:t xml:space="preserve">Въз основа на докладваните национални емисии </w:t>
      </w:r>
      <w:r>
        <w:rPr>
          <w:rFonts w:ascii="Times New Roman" w:hAnsi="Times New Roman"/>
          <w:b/>
          <w:noProof/>
          <w:sz w:val="24"/>
        </w:rPr>
        <w:t>Европейската комисия ще изготви допълнителна оценка на въздействието на метановите емисии върху постигането на целите на политиката за качество на въздуха и при необходимост ще представи законодателно предложени</w:t>
      </w:r>
      <w:r>
        <w:rPr>
          <w:rFonts w:ascii="Times New Roman" w:hAnsi="Times New Roman"/>
          <w:b/>
          <w:noProof/>
          <w:sz w:val="24"/>
        </w:rPr>
        <w:t>е въз основа на данните на равнище ЕС и на световно равнище.</w:t>
      </w:r>
    </w:p>
    <w:p w:rsidR="006E4266" w:rsidRDefault="006E4266">
      <w:pPr>
        <w:pStyle w:val="ListParagraph"/>
        <w:spacing w:before="120" w:after="120" w:line="240" w:lineRule="auto"/>
        <w:jc w:val="both"/>
        <w:rPr>
          <w:rFonts w:ascii="Times New Roman" w:eastAsia="Times New Roman" w:hAnsi="Times New Roman" w:cs="Times New Roman"/>
          <w:noProof/>
          <w:sz w:val="24"/>
          <w:szCs w:val="20"/>
        </w:rPr>
      </w:pPr>
    </w:p>
    <w:p w:rsidR="006E4266" w:rsidRDefault="00E56073">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Следващият обзор на мерките за чистота на въздуха ще бъде публикуван през 2020 г. и ще включва направен от Европейската комисия анализ на  националните програми от 2019 г. за контрол на замърсяв</w:t>
      </w:r>
      <w:r>
        <w:rPr>
          <w:rFonts w:ascii="Times New Roman" w:hAnsi="Times New Roman"/>
          <w:noProof/>
          <w:sz w:val="24"/>
        </w:rPr>
        <w:t>ането на въздуха.</w:t>
      </w:r>
    </w:p>
    <w:p w:rsidR="006E4266" w:rsidRDefault="006E4266">
      <w:pPr>
        <w:keepNext/>
        <w:tabs>
          <w:tab w:val="left" w:pos="850"/>
        </w:tabs>
        <w:spacing w:before="360" w:after="120" w:line="240" w:lineRule="auto"/>
        <w:jc w:val="center"/>
        <w:outlineLvl w:val="0"/>
        <w:rPr>
          <w:rFonts w:ascii="Times New Roman" w:eastAsia="Times New Roman" w:hAnsi="Times New Roman" w:cs="Times New Roman"/>
          <w:noProof/>
          <w:sz w:val="24"/>
          <w:szCs w:val="20"/>
          <w:lang w:eastAsia="en-GB"/>
        </w:rPr>
      </w:pPr>
    </w:p>
    <w:sectPr w:rsidR="006E4266">
      <w:headerReference w:type="even" r:id="rId36"/>
      <w:headerReference w:type="default" r:id="rId37"/>
      <w:footerReference w:type="even" r:id="rId38"/>
      <w:footerReference w:type="default" r:id="rId39"/>
      <w:headerReference w:type="first" r:id="rId40"/>
      <w:footerReference w:type="first" r:id="rId41"/>
      <w:type w:val="continuous"/>
      <w:pgSz w:w="11907" w:h="16839"/>
      <w:pgMar w:top="1134" w:right="1417" w:bottom="1134"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C967" w16cid:durableId="1E39A3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66" w:rsidRDefault="00E56073">
      <w:pPr>
        <w:spacing w:after="0" w:line="240" w:lineRule="auto"/>
      </w:pPr>
      <w:r>
        <w:separator/>
      </w:r>
    </w:p>
  </w:endnote>
  <w:endnote w:type="continuationSeparator" w:id="0">
    <w:p w:rsidR="006E4266" w:rsidRDefault="00E5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Regu-Identity-H">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3" w:rsidRPr="00E56073" w:rsidRDefault="00E56073" w:rsidP="00E560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57751"/>
      <w:docPartObj>
        <w:docPartGallery w:val="Page Numbers (Bottom of Page)"/>
        <w:docPartUnique/>
      </w:docPartObj>
    </w:sdtPr>
    <w:sdtEndPr>
      <w:rPr>
        <w:noProof/>
      </w:rPr>
    </w:sdtEndPr>
    <w:sdtContent>
      <w:p w:rsidR="006E4266" w:rsidRDefault="00E5607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6E4266" w:rsidRDefault="006E426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3" w:rsidRPr="00E56073" w:rsidRDefault="00E56073" w:rsidP="00E56073">
    <w:pPr>
      <w:pStyle w:val="FooterCoverPage"/>
      <w:rPr>
        <w:rFonts w:ascii="Arial" w:hAnsi="Arial" w:cs="Arial"/>
        <w:b/>
        <w:sz w:val="48"/>
      </w:rPr>
    </w:pPr>
    <w:r w:rsidRPr="00E56073">
      <w:rPr>
        <w:rFonts w:ascii="Arial" w:hAnsi="Arial" w:cs="Arial"/>
        <w:b/>
        <w:sz w:val="48"/>
      </w:rPr>
      <w:t>BG</w:t>
    </w:r>
    <w:r w:rsidRPr="00E56073">
      <w:rPr>
        <w:rFonts w:ascii="Arial" w:hAnsi="Arial" w:cs="Arial"/>
        <w:b/>
        <w:sz w:val="48"/>
      </w:rPr>
      <w:tab/>
    </w:r>
    <w:r w:rsidRPr="00E56073">
      <w:rPr>
        <w:rFonts w:ascii="Arial" w:hAnsi="Arial" w:cs="Arial"/>
        <w:b/>
        <w:sz w:val="48"/>
      </w:rPr>
      <w:tab/>
    </w:r>
    <w:r w:rsidRPr="00E56073">
      <w:tab/>
    </w:r>
    <w:r w:rsidRPr="00E5607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3" w:rsidRPr="00E56073" w:rsidRDefault="00E56073" w:rsidP="00E5607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59800"/>
      <w:docPartObj>
        <w:docPartGallery w:val="Page Numbers (Bottom of Page)"/>
        <w:docPartUnique/>
      </w:docPartObj>
    </w:sdtPr>
    <w:sdtEndPr>
      <w:rPr>
        <w:noProof/>
      </w:rPr>
    </w:sdtEndPr>
    <w:sdtContent>
      <w:p w:rsidR="006E4266" w:rsidRDefault="00E560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4266" w:rsidRDefault="006E42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95039"/>
      <w:docPartObj>
        <w:docPartGallery w:val="Page Numbers (Bottom of Page)"/>
        <w:docPartUnique/>
      </w:docPartObj>
    </w:sdtPr>
    <w:sdtEndPr>
      <w:rPr>
        <w:noProof/>
      </w:rPr>
    </w:sdtEndPr>
    <w:sdtContent>
      <w:p w:rsidR="006E4266" w:rsidRDefault="00E560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4266" w:rsidRDefault="006E42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66" w:rsidRDefault="00E56073">
      <w:pPr>
        <w:spacing w:after="0" w:line="240" w:lineRule="auto"/>
      </w:pPr>
      <w:r>
        <w:separator/>
      </w:r>
    </w:p>
  </w:footnote>
  <w:footnote w:type="continuationSeparator" w:id="0">
    <w:p w:rsidR="006E4266" w:rsidRDefault="00E56073">
      <w:pPr>
        <w:spacing w:after="0" w:line="240" w:lineRule="auto"/>
      </w:pPr>
      <w:r>
        <w:continuationSeparator/>
      </w:r>
    </w:p>
  </w:footnote>
  <w:footnote w:id="1">
    <w:p w:rsidR="006E4266" w:rsidRDefault="00E56073">
      <w:pPr>
        <w:pStyle w:val="FootnoteText"/>
        <w:rPr>
          <w:rFonts w:ascii="Times New Roman" w:hAnsi="Times New Roman" w:cs="Times New Roman"/>
          <w:lang w:val="en-GB"/>
        </w:rPr>
      </w:pPr>
      <w:r>
        <w:rPr>
          <w:rFonts w:ascii="Times New Roman" w:hAnsi="Times New Roman"/>
        </w:rPr>
        <w:footnoteRef/>
      </w:r>
      <w:r>
        <w:rPr>
          <w:rFonts w:ascii="Times New Roman" w:hAnsi="Times New Roman"/>
        </w:rPr>
        <w:t xml:space="preserve"> ОВ L 152, 11.6.2008 г., стр. 1—44.</w:t>
      </w:r>
    </w:p>
  </w:footnote>
  <w:footnote w:id="2">
    <w:p w:rsidR="006E4266" w:rsidRDefault="00E56073">
      <w:pPr>
        <w:pStyle w:val="FootnoteText"/>
        <w:rPr>
          <w:rFonts w:ascii="Times New Roman" w:hAnsi="Times New Roman" w:cs="Times New Roman"/>
          <w:lang w:val="en-GB"/>
        </w:rPr>
      </w:pPr>
      <w:r>
        <w:rPr>
          <w:rFonts w:ascii="Times New Roman" w:hAnsi="Times New Roman"/>
        </w:rPr>
        <w:footnoteRef/>
      </w:r>
      <w:r>
        <w:rPr>
          <w:rFonts w:ascii="Times New Roman" w:hAnsi="Times New Roman"/>
        </w:rPr>
        <w:t xml:space="preserve"> European Enviroment Agency (EEA), October 2017, „Air quality in Europe - 2017 report“ (Европейска агенция за околната среда (ЕАОС), октомври 2017 г. „Качество на въздуха в Европа — доклад за 2017 г.“)</w:t>
      </w:r>
    </w:p>
  </w:footnote>
  <w:footnote w:id="3">
    <w:p w:rsidR="006E4266" w:rsidRDefault="00E56073">
      <w:pPr>
        <w:pStyle w:val="FootnoteText"/>
        <w:rPr>
          <w:rFonts w:ascii="Times New Roman" w:hAnsi="Times New Roman" w:cs="Times New Roman"/>
          <w:lang w:val="en-GB"/>
        </w:rPr>
      </w:pPr>
      <w:r>
        <w:rPr>
          <w:rFonts w:ascii="Times New Roman" w:hAnsi="Times New Roman"/>
        </w:rPr>
        <w:footnoteRef/>
      </w:r>
      <w:r>
        <w:rPr>
          <w:rFonts w:ascii="Times New Roman" w:hAnsi="Times New Roman"/>
          <w:lang w:val="en-GB"/>
        </w:rPr>
        <w:t xml:space="preserve"> </w:t>
      </w:r>
      <w:r>
        <w:rPr>
          <w:rFonts w:ascii="Times New Roman" w:hAnsi="Times New Roman"/>
        </w:rPr>
        <w:t>Виж</w:t>
      </w:r>
      <w:r>
        <w:rPr>
          <w:rFonts w:ascii="Times New Roman" w:hAnsi="Times New Roman"/>
          <w:lang w:val="en-GB"/>
        </w:rPr>
        <w:t xml:space="preserve">: </w:t>
      </w:r>
      <w:hyperlink r:id="rId1">
        <w:r>
          <w:rPr>
            <w:rStyle w:val="Hyperlink"/>
            <w:rFonts w:ascii="Times New Roman" w:hAnsi="Times New Roman"/>
            <w:lang w:val="en-GB"/>
          </w:rPr>
          <w:t>http://ec.europa.eu/environment/air/clean_air/review.htm</w:t>
        </w:r>
      </w:hyperlink>
    </w:p>
  </w:footnote>
  <w:footnote w:id="4">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COM(2013) 918 final.</w:t>
      </w:r>
    </w:p>
  </w:footnote>
  <w:footnote w:id="5">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ОВ</w:t>
      </w:r>
      <w:r>
        <w:rPr>
          <w:rFonts w:ascii="Times New Roman" w:hAnsi="Times New Roman"/>
          <w:lang w:val="pt-PT"/>
        </w:rPr>
        <w:t xml:space="preserve"> L 313, 28.11.2015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1—19.</w:t>
      </w:r>
    </w:p>
  </w:footnote>
  <w:footnote w:id="6">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ОВ</w:t>
      </w:r>
      <w:r>
        <w:rPr>
          <w:rFonts w:ascii="Times New Roman" w:hAnsi="Times New Roman"/>
          <w:lang w:val="pt-PT"/>
        </w:rPr>
        <w:t xml:space="preserve"> L 248, 27.9.2017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3—75</w:t>
      </w:r>
    </w:p>
  </w:footnote>
  <w:footnote w:id="7">
    <w:p w:rsidR="006E4266" w:rsidRDefault="00E56073">
      <w:pPr>
        <w:pStyle w:val="FootnoteText"/>
        <w:rPr>
          <w:lang w:val="pt-PT"/>
        </w:rPr>
      </w:pPr>
      <w:r>
        <w:rPr>
          <w:rFonts w:ascii="Times New Roman" w:hAnsi="Times New Roman"/>
        </w:rPr>
        <w:footnoteRef/>
      </w:r>
      <w:r>
        <w:rPr>
          <w:rFonts w:ascii="Times New Roman" w:hAnsi="Times New Roman"/>
          <w:lang w:val="pt-PT"/>
        </w:rPr>
        <w:t xml:space="preserve"> O</w:t>
      </w:r>
      <w:r>
        <w:rPr>
          <w:rFonts w:ascii="Times New Roman" w:hAnsi="Times New Roman"/>
        </w:rPr>
        <w:t>В</w:t>
      </w:r>
      <w:r>
        <w:rPr>
          <w:rFonts w:ascii="Times New Roman" w:hAnsi="Times New Roman"/>
          <w:lang w:val="pt-PT"/>
        </w:rPr>
        <w:t xml:space="preserve"> L 344 </w:t>
      </w:r>
      <w:r>
        <w:rPr>
          <w:rFonts w:ascii="Times New Roman" w:hAnsi="Times New Roman"/>
        </w:rPr>
        <w:t>от</w:t>
      </w:r>
      <w:r>
        <w:rPr>
          <w:rFonts w:ascii="Times New Roman" w:hAnsi="Times New Roman"/>
          <w:lang w:val="pt-PT"/>
        </w:rPr>
        <w:t xml:space="preserve"> 17.12.2016 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w:t>
      </w:r>
    </w:p>
  </w:footnote>
  <w:footnote w:id="8">
    <w:p w:rsidR="006E4266" w:rsidRDefault="00E56073">
      <w:pPr>
        <w:pStyle w:val="FootnoteText"/>
        <w:rPr>
          <w:lang w:val="pt-PT"/>
        </w:rPr>
      </w:pPr>
      <w:r>
        <w:footnoteRef/>
      </w:r>
      <w:r>
        <w:rPr>
          <w:lang w:val="pt-PT"/>
        </w:rPr>
        <w:t xml:space="preserve"> </w:t>
      </w:r>
      <w:r>
        <w:rPr>
          <w:rFonts w:ascii="Times New Roman" w:hAnsi="Times New Roman" w:cs="Times New Roman"/>
          <w:iCs/>
        </w:rPr>
        <w:t>Европейска</w:t>
      </w:r>
      <w:r>
        <w:rPr>
          <w:rFonts w:ascii="Times New Roman" w:hAnsi="Times New Roman" w:cs="Times New Roman"/>
          <w:iCs/>
          <w:lang w:val="pt-PT"/>
        </w:rPr>
        <w:t xml:space="preserve"> </w:t>
      </w:r>
      <w:r>
        <w:rPr>
          <w:rFonts w:ascii="Times New Roman" w:hAnsi="Times New Roman" w:cs="Times New Roman"/>
          <w:iCs/>
        </w:rPr>
        <w:t>агенция</w:t>
      </w:r>
      <w:r>
        <w:rPr>
          <w:rFonts w:ascii="Times New Roman" w:hAnsi="Times New Roman" w:cs="Times New Roman"/>
          <w:iCs/>
          <w:lang w:val="pt-PT"/>
        </w:rPr>
        <w:t xml:space="preserve"> </w:t>
      </w:r>
      <w:r>
        <w:rPr>
          <w:rFonts w:ascii="Times New Roman" w:hAnsi="Times New Roman" w:cs="Times New Roman"/>
          <w:iCs/>
        </w:rPr>
        <w:t>за</w:t>
      </w:r>
      <w:r>
        <w:rPr>
          <w:rFonts w:ascii="Times New Roman" w:hAnsi="Times New Roman" w:cs="Times New Roman"/>
          <w:iCs/>
          <w:lang w:val="pt-PT"/>
        </w:rPr>
        <w:t xml:space="preserve"> </w:t>
      </w:r>
      <w:r>
        <w:rPr>
          <w:rFonts w:ascii="Times New Roman" w:hAnsi="Times New Roman" w:cs="Times New Roman"/>
          <w:iCs/>
        </w:rPr>
        <w:t>околната</w:t>
      </w:r>
      <w:r>
        <w:rPr>
          <w:rFonts w:ascii="Times New Roman" w:hAnsi="Times New Roman" w:cs="Times New Roman"/>
          <w:iCs/>
          <w:lang w:val="pt-PT"/>
        </w:rPr>
        <w:t xml:space="preserve"> </w:t>
      </w:r>
      <w:r>
        <w:rPr>
          <w:rFonts w:ascii="Times New Roman" w:hAnsi="Times New Roman" w:cs="Times New Roman"/>
          <w:iCs/>
        </w:rPr>
        <w:t>среда</w:t>
      </w:r>
      <w:r>
        <w:rPr>
          <w:rFonts w:ascii="Times New Roman" w:hAnsi="Times New Roman" w:cs="Times New Roman"/>
          <w:iCs/>
          <w:lang w:val="pt-PT"/>
        </w:rPr>
        <w:t xml:space="preserve"> (</w:t>
      </w:r>
      <w:r>
        <w:rPr>
          <w:rFonts w:ascii="Times New Roman" w:hAnsi="Times New Roman" w:cs="Times New Roman"/>
          <w:iCs/>
        </w:rPr>
        <w:t>ЕАОС</w:t>
      </w:r>
      <w:r>
        <w:rPr>
          <w:rFonts w:ascii="Times New Roman" w:hAnsi="Times New Roman" w:cs="Times New Roman"/>
          <w:iCs/>
          <w:lang w:val="pt-PT"/>
        </w:rPr>
        <w:t xml:space="preserve">), </w:t>
      </w:r>
      <w:r>
        <w:rPr>
          <w:rFonts w:ascii="Times New Roman" w:hAnsi="Times New Roman" w:cs="Times New Roman"/>
          <w:iCs/>
        </w:rPr>
        <w:t>октомври</w:t>
      </w:r>
      <w:r>
        <w:rPr>
          <w:rFonts w:ascii="Times New Roman" w:hAnsi="Times New Roman" w:cs="Times New Roman"/>
          <w:iCs/>
          <w:lang w:val="pt-PT"/>
        </w:rPr>
        <w:t xml:space="preserve"> 2017 </w:t>
      </w:r>
      <w:r>
        <w:rPr>
          <w:rFonts w:ascii="Times New Roman" w:hAnsi="Times New Roman" w:cs="Times New Roman"/>
          <w:iCs/>
        </w:rPr>
        <w:t>г</w:t>
      </w:r>
      <w:r>
        <w:rPr>
          <w:rFonts w:ascii="Times New Roman" w:hAnsi="Times New Roman" w:cs="Times New Roman"/>
          <w:iCs/>
          <w:lang w:val="pt-PT"/>
        </w:rPr>
        <w:t>. „Air quality in Europe - 2017 report“ (</w:t>
      </w:r>
      <w:r>
        <w:rPr>
          <w:rFonts w:ascii="Times New Roman" w:hAnsi="Times New Roman" w:cs="Times New Roman"/>
          <w:iCs/>
        </w:rPr>
        <w:t>Качество</w:t>
      </w:r>
      <w:r>
        <w:rPr>
          <w:rFonts w:ascii="Times New Roman" w:hAnsi="Times New Roman" w:cs="Times New Roman"/>
          <w:iCs/>
          <w:lang w:val="pt-PT"/>
        </w:rPr>
        <w:t xml:space="preserve"> </w:t>
      </w:r>
      <w:r>
        <w:rPr>
          <w:rFonts w:ascii="Times New Roman" w:hAnsi="Times New Roman" w:cs="Times New Roman"/>
          <w:iCs/>
        </w:rPr>
        <w:t>на</w:t>
      </w:r>
      <w:r>
        <w:rPr>
          <w:rFonts w:ascii="Times New Roman" w:hAnsi="Times New Roman" w:cs="Times New Roman"/>
          <w:iCs/>
          <w:lang w:val="pt-PT"/>
        </w:rPr>
        <w:t xml:space="preserve"> </w:t>
      </w:r>
      <w:r>
        <w:rPr>
          <w:rFonts w:ascii="Times New Roman" w:hAnsi="Times New Roman" w:cs="Times New Roman"/>
          <w:iCs/>
        </w:rPr>
        <w:t>въздуха</w:t>
      </w:r>
      <w:r>
        <w:rPr>
          <w:rFonts w:ascii="Times New Roman" w:hAnsi="Times New Roman" w:cs="Times New Roman"/>
          <w:iCs/>
          <w:lang w:val="pt-PT"/>
        </w:rPr>
        <w:t xml:space="preserve"> </w:t>
      </w:r>
      <w:r>
        <w:rPr>
          <w:rFonts w:ascii="Times New Roman" w:hAnsi="Times New Roman" w:cs="Times New Roman"/>
          <w:iCs/>
        </w:rPr>
        <w:t>в</w:t>
      </w:r>
      <w:r>
        <w:rPr>
          <w:rFonts w:ascii="Times New Roman" w:hAnsi="Times New Roman" w:cs="Times New Roman"/>
          <w:iCs/>
          <w:lang w:val="pt-PT"/>
        </w:rPr>
        <w:t xml:space="preserve"> </w:t>
      </w:r>
      <w:r>
        <w:rPr>
          <w:rFonts w:ascii="Times New Roman" w:hAnsi="Times New Roman" w:cs="Times New Roman"/>
          <w:iCs/>
        </w:rPr>
        <w:t>Европа</w:t>
      </w:r>
      <w:r>
        <w:rPr>
          <w:rFonts w:ascii="Times New Roman" w:hAnsi="Times New Roman" w:cs="Times New Roman"/>
          <w:iCs/>
          <w:lang w:val="pt-PT"/>
        </w:rPr>
        <w:t xml:space="preserve"> — </w:t>
      </w:r>
      <w:r>
        <w:rPr>
          <w:rFonts w:ascii="Times New Roman" w:hAnsi="Times New Roman" w:cs="Times New Roman"/>
          <w:iCs/>
        </w:rPr>
        <w:t>доклад</w:t>
      </w:r>
      <w:r>
        <w:rPr>
          <w:rFonts w:ascii="Times New Roman" w:hAnsi="Times New Roman" w:cs="Times New Roman"/>
          <w:iCs/>
          <w:lang w:val="pt-PT"/>
        </w:rPr>
        <w:t xml:space="preserve"> </w:t>
      </w:r>
      <w:r>
        <w:rPr>
          <w:rFonts w:ascii="Times New Roman" w:hAnsi="Times New Roman" w:cs="Times New Roman"/>
          <w:iCs/>
        </w:rPr>
        <w:t>за</w:t>
      </w:r>
      <w:r>
        <w:rPr>
          <w:rFonts w:ascii="Times New Roman" w:hAnsi="Times New Roman" w:cs="Times New Roman"/>
          <w:iCs/>
          <w:lang w:val="pt-PT"/>
        </w:rPr>
        <w:t xml:space="preserve"> 2017 </w:t>
      </w:r>
      <w:r>
        <w:rPr>
          <w:rFonts w:ascii="Times New Roman" w:hAnsi="Times New Roman" w:cs="Times New Roman"/>
          <w:iCs/>
        </w:rPr>
        <w:t>г</w:t>
      </w:r>
      <w:r>
        <w:rPr>
          <w:rFonts w:ascii="Times New Roman" w:hAnsi="Times New Roman" w:cs="Times New Roman"/>
          <w:iCs/>
          <w:lang w:val="pt-PT"/>
        </w:rPr>
        <w:t>.)</w:t>
      </w:r>
    </w:p>
  </w:footnote>
  <w:footnote w:id="9">
    <w:p w:rsidR="006E4266" w:rsidRDefault="00E56073">
      <w:pPr>
        <w:pStyle w:val="FootnoteText"/>
        <w:ind w:left="120" w:hanging="120"/>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w:t>
      </w:r>
      <w:r>
        <w:rPr>
          <w:rFonts w:ascii="Times New Roman" w:hAnsi="Times New Roman"/>
        </w:rPr>
        <w:t>ЕС</w:t>
      </w:r>
      <w:r>
        <w:rPr>
          <w:rFonts w:ascii="Times New Roman" w:hAnsi="Times New Roman"/>
          <w:lang w:val="pt-PT"/>
        </w:rPr>
        <w:t xml:space="preserve">) 2017/1151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изменен</w:t>
      </w:r>
      <w:r>
        <w:rPr>
          <w:rFonts w:ascii="Times New Roman" w:hAnsi="Times New Roman"/>
          <w:lang w:val="pt-PT"/>
        </w:rPr>
        <w:t xml:space="preserve">. </w:t>
      </w:r>
      <w:r>
        <w:rPr>
          <w:rFonts w:ascii="Times New Roman" w:hAnsi="Times New Roman"/>
        </w:rPr>
        <w:t>ОВ</w:t>
      </w:r>
      <w:r>
        <w:rPr>
          <w:rFonts w:ascii="Times New Roman" w:hAnsi="Times New Roman"/>
          <w:lang w:val="pt-PT"/>
        </w:rPr>
        <w:t> L 175, 7.7.2017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1–643.</w:t>
      </w:r>
    </w:p>
  </w:footnote>
  <w:footnote w:id="10">
    <w:p w:rsidR="006E4266" w:rsidRDefault="00E56073">
      <w:pPr>
        <w:pStyle w:val="FootnoteText"/>
        <w:ind w:left="120" w:hanging="120"/>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COM(2016) 31 final.</w:t>
      </w:r>
    </w:p>
  </w:footnote>
  <w:footnote w:id="11">
    <w:p w:rsidR="006E4266" w:rsidRDefault="00E56073">
      <w:pPr>
        <w:pStyle w:val="FootnoteText"/>
        <w:ind w:left="240" w:hanging="240"/>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Регламент</w:t>
      </w:r>
      <w:r>
        <w:rPr>
          <w:rFonts w:ascii="Times New Roman" w:hAnsi="Times New Roman"/>
          <w:lang w:val="pt-PT"/>
        </w:rPr>
        <w:t> (</w:t>
      </w:r>
      <w:r>
        <w:rPr>
          <w:rFonts w:ascii="Times New Roman" w:hAnsi="Times New Roman"/>
        </w:rPr>
        <w:t>ЕО</w:t>
      </w:r>
      <w:r>
        <w:rPr>
          <w:rFonts w:ascii="Times New Roman" w:hAnsi="Times New Roman"/>
          <w:lang w:val="pt-PT"/>
        </w:rPr>
        <w:t>) № 715/2007,</w:t>
      </w:r>
      <w:r>
        <w:rPr>
          <w:rFonts w:ascii="Times New Roman" w:hAnsi="Times New Roman"/>
          <w:lang w:val="pt-PT"/>
        </w:rPr>
        <w:t xml:space="preserve"> </w:t>
      </w:r>
      <w:r>
        <w:rPr>
          <w:rFonts w:ascii="Times New Roman" w:hAnsi="Times New Roman"/>
        </w:rPr>
        <w:t>ОВ</w:t>
      </w:r>
      <w:r>
        <w:rPr>
          <w:rFonts w:ascii="Times New Roman" w:hAnsi="Times New Roman"/>
          <w:lang w:val="pt-PT"/>
        </w:rPr>
        <w:t xml:space="preserve"> L 171, 29.6.2007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 — 16.</w:t>
      </w:r>
    </w:p>
  </w:footnote>
  <w:footnote w:id="12">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2010/75/</w:t>
      </w:r>
      <w:r>
        <w:rPr>
          <w:rFonts w:ascii="Times New Roman" w:hAnsi="Times New Roman"/>
        </w:rPr>
        <w:t>ЕС</w:t>
      </w:r>
      <w:r>
        <w:rPr>
          <w:rFonts w:ascii="Times New Roman" w:hAnsi="Times New Roman"/>
          <w:lang w:val="pt-PT"/>
        </w:rPr>
        <w:t xml:space="preserve">, </w:t>
      </w:r>
      <w:r>
        <w:rPr>
          <w:rFonts w:ascii="Times New Roman" w:hAnsi="Times New Roman"/>
        </w:rPr>
        <w:t>ОВ</w:t>
      </w:r>
      <w:r>
        <w:rPr>
          <w:rFonts w:ascii="Times New Roman" w:hAnsi="Times New Roman"/>
          <w:lang w:val="pt-PT"/>
        </w:rPr>
        <w:t xml:space="preserve"> L 334, 17.12.2010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17 — 119</w:t>
      </w:r>
    </w:p>
  </w:footnote>
  <w:footnote w:id="13">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xml:space="preserve"> 2015/1185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ОВ</w:t>
      </w:r>
      <w:r>
        <w:rPr>
          <w:rFonts w:ascii="Times New Roman" w:hAnsi="Times New Roman"/>
          <w:lang w:val="pt-PT"/>
        </w:rPr>
        <w:t> E</w:t>
      </w:r>
      <w:r>
        <w:rPr>
          <w:rFonts w:ascii="Times New Roman" w:hAnsi="Times New Roman"/>
        </w:rPr>
        <w:t>С</w:t>
      </w:r>
      <w:r>
        <w:rPr>
          <w:rFonts w:ascii="Times New Roman" w:hAnsi="Times New Roman"/>
          <w:lang w:val="pt-PT"/>
        </w:rPr>
        <w:t> L 193, 21.7.2015 </w:t>
      </w:r>
      <w:r>
        <w:rPr>
          <w:rFonts w:ascii="Times New Roman" w:hAnsi="Times New Roman"/>
        </w:rPr>
        <w:t>г</w:t>
      </w:r>
      <w:r>
        <w:rPr>
          <w:rFonts w:ascii="Times New Roman" w:hAnsi="Times New Roman"/>
          <w:lang w:val="pt-PT"/>
        </w:rPr>
        <w:t>.</w:t>
      </w:r>
    </w:p>
  </w:footnote>
  <w:footnote w:id="14">
    <w:p w:rsidR="006E4266" w:rsidRDefault="00E56073">
      <w:pPr>
        <w:pStyle w:val="FootnoteText"/>
        <w:rPr>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xml:space="preserve"> 2015/1189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ОВ</w:t>
      </w:r>
      <w:r>
        <w:rPr>
          <w:rFonts w:ascii="Times New Roman" w:hAnsi="Times New Roman"/>
          <w:lang w:val="pt-PT"/>
        </w:rPr>
        <w:t> E</w:t>
      </w:r>
      <w:r>
        <w:rPr>
          <w:rFonts w:ascii="Times New Roman" w:hAnsi="Times New Roman"/>
        </w:rPr>
        <w:t>С</w:t>
      </w:r>
      <w:r>
        <w:rPr>
          <w:rFonts w:ascii="Times New Roman" w:hAnsi="Times New Roman"/>
          <w:lang w:val="pt-PT"/>
        </w:rPr>
        <w:t> L 193, 21.7.2015 </w:t>
      </w:r>
      <w:r>
        <w:rPr>
          <w:rFonts w:ascii="Times New Roman" w:hAnsi="Times New Roman"/>
        </w:rPr>
        <w:t>г</w:t>
      </w:r>
      <w:r>
        <w:rPr>
          <w:rFonts w:ascii="Times New Roman" w:hAnsi="Times New Roman"/>
          <w:lang w:val="pt-PT"/>
        </w:rPr>
        <w:t>.</w:t>
      </w:r>
    </w:p>
  </w:footnote>
  <w:footnote w:id="15">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2010/31/</w:t>
      </w:r>
      <w:r>
        <w:rPr>
          <w:rFonts w:ascii="Times New Roman" w:hAnsi="Times New Roman"/>
        </w:rPr>
        <w:t>ЕС</w:t>
      </w:r>
      <w:r>
        <w:rPr>
          <w:rFonts w:ascii="Times New Roman" w:hAnsi="Times New Roman"/>
          <w:lang w:val="pt-PT"/>
        </w:rPr>
        <w:t xml:space="preserve">, </w:t>
      </w:r>
      <w:r>
        <w:rPr>
          <w:rFonts w:ascii="Times New Roman" w:hAnsi="Times New Roman"/>
        </w:rPr>
        <w:t>ОВ</w:t>
      </w:r>
      <w:r>
        <w:rPr>
          <w:rFonts w:ascii="Times New Roman" w:hAnsi="Times New Roman"/>
          <w:lang w:val="pt-PT"/>
        </w:rPr>
        <w:t> L 153, 18.6.2010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13 — 35</w:t>
      </w:r>
    </w:p>
  </w:footnote>
  <w:footnote w:id="16">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2012/27/</w:t>
      </w:r>
      <w:r>
        <w:rPr>
          <w:rFonts w:ascii="Times New Roman" w:hAnsi="Times New Roman"/>
        </w:rPr>
        <w:t>ЕС</w:t>
      </w:r>
      <w:r>
        <w:rPr>
          <w:rFonts w:ascii="Times New Roman" w:hAnsi="Times New Roman"/>
          <w:lang w:val="pt-PT"/>
        </w:rPr>
        <w:t xml:space="preserve">, </w:t>
      </w:r>
      <w:r>
        <w:rPr>
          <w:rFonts w:ascii="Times New Roman" w:hAnsi="Times New Roman"/>
        </w:rPr>
        <w:t>ОВ</w:t>
      </w:r>
      <w:r>
        <w:rPr>
          <w:rFonts w:ascii="Times New Roman" w:hAnsi="Times New Roman"/>
          <w:lang w:val="pt-PT"/>
        </w:rPr>
        <w:t> L 315, 14.11.2012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 — 56</w:t>
      </w:r>
    </w:p>
  </w:footnote>
  <w:footnote w:id="17">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w:t>
      </w:r>
      <w:r>
        <w:rPr>
          <w:rFonts w:ascii="Times New Roman" w:hAnsi="Times New Roman"/>
        </w:rPr>
        <w:t>ЕС</w:t>
      </w:r>
      <w:r>
        <w:rPr>
          <w:rFonts w:ascii="Times New Roman" w:hAnsi="Times New Roman"/>
          <w:lang w:val="pt-PT"/>
        </w:rPr>
        <w:t xml:space="preserve">) № 2017/1369, </w:t>
      </w:r>
      <w:r>
        <w:rPr>
          <w:rFonts w:ascii="Times New Roman" w:hAnsi="Times New Roman"/>
        </w:rPr>
        <w:t>ОВ</w:t>
      </w:r>
      <w:r>
        <w:rPr>
          <w:rFonts w:ascii="Times New Roman" w:hAnsi="Times New Roman"/>
          <w:lang w:val="pt-PT"/>
        </w:rPr>
        <w:t> L 198, 28.7.2017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 — 23.</w:t>
      </w:r>
    </w:p>
  </w:footnote>
  <w:footnote w:id="18">
    <w:p w:rsidR="006E4266" w:rsidRDefault="00E56073">
      <w:pPr>
        <w:pStyle w:val="FootnoteText"/>
        <w:ind w:left="120" w:hanging="120"/>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изпълнение</w:t>
      </w:r>
      <w:r>
        <w:rPr>
          <w:rFonts w:ascii="Times New Roman" w:hAnsi="Times New Roman"/>
          <w:lang w:val="pt-PT"/>
        </w:rPr>
        <w:t> (</w:t>
      </w:r>
      <w:r>
        <w:rPr>
          <w:rFonts w:ascii="Times New Roman" w:hAnsi="Times New Roman"/>
        </w:rPr>
        <w:t>ЕС</w:t>
      </w:r>
      <w:r>
        <w:rPr>
          <w:rFonts w:ascii="Times New Roman" w:hAnsi="Times New Roman"/>
          <w:lang w:val="pt-PT"/>
        </w:rPr>
        <w:t xml:space="preserve">) 2017/1442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O</w:t>
      </w:r>
      <w:r>
        <w:rPr>
          <w:rFonts w:ascii="Times New Roman" w:hAnsi="Times New Roman"/>
        </w:rPr>
        <w:t>В</w:t>
      </w:r>
      <w:r>
        <w:rPr>
          <w:rFonts w:ascii="Times New Roman" w:hAnsi="Times New Roman"/>
          <w:lang w:val="pt-PT"/>
        </w:rPr>
        <w:t xml:space="preserve"> L 212, 17.8.2017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1—82.</w:t>
      </w:r>
    </w:p>
  </w:footnote>
  <w:footnote w:id="19">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COM(2017) 57 final — </w:t>
      </w:r>
      <w:r>
        <w:rPr>
          <w:rFonts w:ascii="Times New Roman" w:hAnsi="Times New Roman"/>
        </w:rPr>
        <w:t>Доклад</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напредъка</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областта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енергията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възобновяеми</w:t>
      </w:r>
      <w:r>
        <w:rPr>
          <w:rFonts w:ascii="Times New Roman" w:hAnsi="Times New Roman"/>
          <w:lang w:val="pt-PT"/>
        </w:rPr>
        <w:t xml:space="preserve"> </w:t>
      </w:r>
      <w:r>
        <w:rPr>
          <w:rFonts w:ascii="Times New Roman" w:hAnsi="Times New Roman"/>
        </w:rPr>
        <w:t>източници</w:t>
      </w:r>
      <w:r>
        <w:rPr>
          <w:rFonts w:ascii="Times New Roman" w:hAnsi="Times New Roman"/>
          <w:lang w:val="pt-PT"/>
        </w:rPr>
        <w:t xml:space="preserve">, </w:t>
      </w:r>
      <w:r>
        <w:rPr>
          <w:rFonts w:ascii="Times New Roman" w:hAnsi="Times New Roman"/>
        </w:rPr>
        <w:t>стр</w:t>
      </w:r>
      <w:r>
        <w:rPr>
          <w:rFonts w:ascii="Times New Roman" w:hAnsi="Times New Roman"/>
          <w:lang w:val="pt-PT"/>
        </w:rPr>
        <w:t>. 5</w:t>
      </w:r>
    </w:p>
  </w:footnote>
  <w:footnote w:id="20">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COM(2016) 860 final — </w:t>
      </w:r>
      <w:r>
        <w:rPr>
          <w:rFonts w:ascii="Times New Roman" w:hAnsi="Times New Roman"/>
        </w:rPr>
        <w:t>Съобщение</w:t>
      </w:r>
      <w:r>
        <w:rPr>
          <w:rFonts w:ascii="Times New Roman" w:hAnsi="Times New Roman"/>
          <w:lang w:val="pt-PT"/>
        </w:rPr>
        <w:t xml:space="preserve"> „</w:t>
      </w:r>
      <w:r>
        <w:rPr>
          <w:rFonts w:ascii="Times New Roman" w:hAnsi="Times New Roman"/>
        </w:rPr>
        <w:t>Чиста</w:t>
      </w:r>
      <w:r>
        <w:rPr>
          <w:rFonts w:ascii="Times New Roman" w:hAnsi="Times New Roman"/>
          <w:lang w:val="pt-PT"/>
        </w:rPr>
        <w:t xml:space="preserve"> </w:t>
      </w:r>
      <w:r>
        <w:rPr>
          <w:rFonts w:ascii="Times New Roman" w:hAnsi="Times New Roman"/>
        </w:rPr>
        <w:t>енергия</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всички</w:t>
      </w:r>
      <w:r>
        <w:rPr>
          <w:rFonts w:ascii="Times New Roman" w:hAnsi="Times New Roman"/>
          <w:lang w:val="pt-PT"/>
        </w:rPr>
        <w:t xml:space="preserve"> </w:t>
      </w:r>
      <w:r>
        <w:rPr>
          <w:rFonts w:ascii="Times New Roman" w:hAnsi="Times New Roman"/>
        </w:rPr>
        <w:t>европейци</w:t>
      </w:r>
      <w:r>
        <w:rPr>
          <w:rFonts w:ascii="Times New Roman" w:hAnsi="Times New Roman"/>
          <w:lang w:val="pt-PT"/>
        </w:rPr>
        <w:t xml:space="preserve">“, </w:t>
      </w:r>
      <w:r>
        <w:rPr>
          <w:rFonts w:ascii="Times New Roman" w:hAnsi="Times New Roman"/>
        </w:rPr>
        <w:t>стр</w:t>
      </w:r>
      <w:r>
        <w:rPr>
          <w:rFonts w:ascii="Times New Roman" w:hAnsi="Times New Roman"/>
          <w:lang w:val="pt-PT"/>
        </w:rPr>
        <w:t>. 9</w:t>
      </w:r>
    </w:p>
  </w:footnote>
  <w:footnote w:id="21">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w:t>
      </w:r>
      <w:hyperlink r:id="rId2">
        <w:r>
          <w:rPr>
            <w:rStyle w:val="Hyperlink"/>
            <w:rFonts w:ascii="Times New Roman" w:hAnsi="Times New Roman"/>
            <w:lang w:val="pt-PT"/>
          </w:rPr>
          <w:t>htt</w:t>
        </w:r>
        <w:r>
          <w:rPr>
            <w:rStyle w:val="Hyperlink"/>
            <w:rFonts w:ascii="Times New Roman" w:hAnsi="Times New Roman"/>
            <w:lang w:val="pt-PT"/>
          </w:rPr>
          <w:t>p://ec.europa.eu/environment/eir/index_en.htm</w:t>
        </w:r>
      </w:hyperlink>
      <w:r>
        <w:rPr>
          <w:rFonts w:ascii="Times New Roman" w:hAnsi="Times New Roman"/>
          <w:lang w:val="pt-PT"/>
        </w:rPr>
        <w:t xml:space="preserve"> </w:t>
      </w:r>
    </w:p>
  </w:footnote>
  <w:footnote w:id="22">
    <w:p w:rsidR="006E4266" w:rsidRDefault="00E56073">
      <w:pPr>
        <w:pStyle w:val="FootnoteText"/>
        <w:rPr>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w:t>
      </w:r>
      <w:hyperlink r:id="rId3">
        <w:r>
          <w:rPr>
            <w:rStyle w:val="Hyperlink"/>
            <w:rFonts w:ascii="Times New Roman" w:hAnsi="Times New Roman"/>
            <w:lang w:val="pt-PT"/>
          </w:rPr>
          <w:t>http://ec.europa.eu/environment/air/clean_air/dialogue.htm</w:t>
        </w:r>
      </w:hyperlink>
      <w:r>
        <w:rPr>
          <w:rFonts w:ascii="Times New Roman" w:hAnsi="Times New Roman"/>
          <w:lang w:val="pt-PT"/>
        </w:rPr>
        <w:t xml:space="preserve"> </w:t>
      </w:r>
    </w:p>
  </w:footnote>
  <w:footnote w:id="23">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COM(2013)920 final.</w:t>
      </w:r>
    </w:p>
  </w:footnote>
  <w:footnote w:id="24">
    <w:p w:rsidR="006E4266" w:rsidRDefault="00E56073">
      <w:pPr>
        <w:pStyle w:val="FootnoteText"/>
        <w:rPr>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w:t>
      </w:r>
      <w:r>
        <w:rPr>
          <w:rFonts w:ascii="Times New Roman" w:hAnsi="Times New Roman"/>
        </w:rPr>
        <w:t>ЕС</w:t>
      </w:r>
      <w:r>
        <w:rPr>
          <w:rFonts w:ascii="Times New Roman" w:hAnsi="Times New Roman"/>
          <w:lang w:val="pt-PT"/>
        </w:rPr>
        <w:t xml:space="preserve">) 2016/1628 — </w:t>
      </w:r>
      <w:r>
        <w:rPr>
          <w:rFonts w:ascii="Times New Roman" w:hAnsi="Times New Roman"/>
        </w:rPr>
        <w:t>ОВ</w:t>
      </w:r>
      <w:r>
        <w:rPr>
          <w:rFonts w:ascii="Times New Roman" w:hAnsi="Times New Roman"/>
          <w:lang w:val="pt-PT"/>
        </w:rPr>
        <w:t> E</w:t>
      </w:r>
      <w:r>
        <w:rPr>
          <w:rFonts w:ascii="Times New Roman" w:hAnsi="Times New Roman"/>
        </w:rPr>
        <w:t>С</w:t>
      </w:r>
      <w:r>
        <w:rPr>
          <w:rFonts w:ascii="Times New Roman" w:hAnsi="Times New Roman"/>
          <w:lang w:val="pt-PT"/>
        </w:rPr>
        <w:t xml:space="preserve"> L 252, </w:t>
      </w:r>
      <w:r>
        <w:rPr>
          <w:rFonts w:ascii="Times New Roman" w:hAnsi="Times New Roman"/>
          <w:lang w:val="pt-PT"/>
        </w:rPr>
        <w:t>16.9.2016 </w:t>
      </w:r>
      <w:r>
        <w:rPr>
          <w:rFonts w:ascii="Times New Roman" w:hAnsi="Times New Roman"/>
        </w:rPr>
        <w:t>г</w:t>
      </w:r>
      <w:r>
        <w:rPr>
          <w:rFonts w:ascii="Times New Roman" w:hAnsi="Times New Roman"/>
          <w:lang w:val="pt-PT"/>
        </w:rPr>
        <w:t>.</w:t>
      </w:r>
    </w:p>
  </w:footnote>
  <w:footnote w:id="25">
    <w:p w:rsidR="006E4266" w:rsidRDefault="00E56073">
      <w:pPr>
        <w:pStyle w:val="NormalWeb"/>
        <w:spacing w:before="0" w:beforeAutospacing="0" w:after="0" w:afterAutospacing="0"/>
        <w:jc w:val="both"/>
        <w:rPr>
          <w:lang w:val="pt-PT"/>
        </w:rPr>
      </w:pPr>
      <w:r>
        <w:footnoteRef/>
      </w:r>
      <w:r>
        <w:rPr>
          <w:lang w:val="pt-PT"/>
        </w:rPr>
        <w:t xml:space="preserve"> </w:t>
      </w:r>
      <w:r>
        <w:rPr>
          <w:rFonts w:eastAsiaTheme="minorHAnsi"/>
          <w:sz w:val="20"/>
        </w:rPr>
        <w:t>Приложение</w:t>
      </w:r>
      <w:r>
        <w:rPr>
          <w:rFonts w:eastAsiaTheme="minorHAnsi"/>
          <w:sz w:val="20"/>
          <w:lang w:val="pt-PT"/>
        </w:rPr>
        <w:t xml:space="preserve"> II </w:t>
      </w:r>
      <w:r>
        <w:rPr>
          <w:rFonts w:eastAsiaTheme="minorHAnsi"/>
          <w:sz w:val="20"/>
        </w:rPr>
        <w:t>за</w:t>
      </w:r>
      <w:r>
        <w:rPr>
          <w:rFonts w:eastAsiaTheme="minorHAnsi"/>
          <w:sz w:val="20"/>
          <w:lang w:val="pt-PT"/>
        </w:rPr>
        <w:t xml:space="preserve"> </w:t>
      </w:r>
      <w:r>
        <w:rPr>
          <w:rFonts w:eastAsiaTheme="minorHAnsi"/>
          <w:sz w:val="20"/>
        </w:rPr>
        <w:t>кръстосано</w:t>
      </w:r>
      <w:r>
        <w:rPr>
          <w:rFonts w:eastAsiaTheme="minorHAnsi"/>
          <w:sz w:val="20"/>
          <w:lang w:val="pt-PT"/>
        </w:rPr>
        <w:t xml:space="preserve"> </w:t>
      </w:r>
      <w:r>
        <w:rPr>
          <w:rFonts w:eastAsiaTheme="minorHAnsi"/>
          <w:sz w:val="20"/>
        </w:rPr>
        <w:t>спазване</w:t>
      </w:r>
      <w:r>
        <w:rPr>
          <w:rFonts w:eastAsiaTheme="minorHAnsi"/>
          <w:sz w:val="20"/>
          <w:lang w:val="pt-PT"/>
        </w:rPr>
        <w:t xml:space="preserve"> </w:t>
      </w:r>
      <w:r>
        <w:rPr>
          <w:rFonts w:eastAsiaTheme="minorHAnsi"/>
          <w:sz w:val="20"/>
        </w:rPr>
        <w:t>на</w:t>
      </w:r>
      <w:r>
        <w:rPr>
          <w:rFonts w:eastAsiaTheme="minorHAnsi"/>
          <w:sz w:val="20"/>
          <w:lang w:val="pt-PT"/>
        </w:rPr>
        <w:t xml:space="preserve"> </w:t>
      </w:r>
      <w:r>
        <w:rPr>
          <w:rFonts w:eastAsiaTheme="minorHAnsi"/>
          <w:sz w:val="20"/>
        </w:rPr>
        <w:t>Регламент</w:t>
      </w:r>
      <w:r>
        <w:rPr>
          <w:rFonts w:eastAsiaTheme="minorHAnsi"/>
          <w:sz w:val="20"/>
          <w:lang w:val="pt-PT"/>
        </w:rPr>
        <w:t> (</w:t>
      </w:r>
      <w:r>
        <w:rPr>
          <w:rFonts w:eastAsiaTheme="minorHAnsi"/>
          <w:sz w:val="20"/>
        </w:rPr>
        <w:t>ЕС</w:t>
      </w:r>
      <w:r>
        <w:rPr>
          <w:rFonts w:eastAsiaTheme="minorHAnsi"/>
          <w:sz w:val="20"/>
          <w:lang w:val="pt-PT"/>
        </w:rPr>
        <w:t xml:space="preserve">) 1306/2013 </w:t>
      </w:r>
      <w:r>
        <w:rPr>
          <w:rFonts w:eastAsiaTheme="minorHAnsi"/>
          <w:sz w:val="20"/>
        </w:rPr>
        <w:t>относно</w:t>
      </w:r>
      <w:r>
        <w:rPr>
          <w:rFonts w:eastAsiaTheme="minorHAnsi"/>
          <w:sz w:val="20"/>
          <w:lang w:val="pt-PT"/>
        </w:rPr>
        <w:t xml:space="preserve"> </w:t>
      </w:r>
      <w:r>
        <w:rPr>
          <w:rFonts w:eastAsiaTheme="minorHAnsi"/>
          <w:sz w:val="20"/>
        </w:rPr>
        <w:t>финансирането</w:t>
      </w:r>
      <w:r>
        <w:rPr>
          <w:rFonts w:eastAsiaTheme="minorHAnsi"/>
          <w:sz w:val="20"/>
          <w:lang w:val="pt-PT"/>
        </w:rPr>
        <w:t xml:space="preserve">, </w:t>
      </w:r>
      <w:r>
        <w:rPr>
          <w:rFonts w:eastAsiaTheme="minorHAnsi"/>
          <w:sz w:val="20"/>
        </w:rPr>
        <w:t>управлението</w:t>
      </w:r>
      <w:r>
        <w:rPr>
          <w:rFonts w:eastAsiaTheme="minorHAnsi"/>
          <w:sz w:val="20"/>
          <w:lang w:val="pt-PT"/>
        </w:rPr>
        <w:t xml:space="preserve"> </w:t>
      </w:r>
      <w:r>
        <w:rPr>
          <w:rFonts w:eastAsiaTheme="minorHAnsi"/>
          <w:sz w:val="20"/>
        </w:rPr>
        <w:t>и</w:t>
      </w:r>
      <w:r>
        <w:rPr>
          <w:rFonts w:eastAsiaTheme="minorHAnsi"/>
          <w:sz w:val="20"/>
          <w:lang w:val="pt-PT"/>
        </w:rPr>
        <w:t xml:space="preserve"> </w:t>
      </w:r>
      <w:r>
        <w:rPr>
          <w:rFonts w:eastAsiaTheme="minorHAnsi"/>
          <w:sz w:val="20"/>
        </w:rPr>
        <w:t>мониторинга</w:t>
      </w:r>
      <w:r>
        <w:rPr>
          <w:rFonts w:eastAsiaTheme="minorHAnsi"/>
          <w:sz w:val="20"/>
          <w:lang w:val="pt-PT"/>
        </w:rPr>
        <w:t xml:space="preserve"> </w:t>
      </w:r>
      <w:r>
        <w:rPr>
          <w:rFonts w:eastAsiaTheme="minorHAnsi"/>
          <w:sz w:val="20"/>
        </w:rPr>
        <w:t>на</w:t>
      </w:r>
      <w:r>
        <w:rPr>
          <w:rFonts w:eastAsiaTheme="minorHAnsi"/>
          <w:sz w:val="20"/>
          <w:lang w:val="pt-PT"/>
        </w:rPr>
        <w:t xml:space="preserve"> </w:t>
      </w:r>
      <w:r>
        <w:rPr>
          <w:rFonts w:eastAsiaTheme="minorHAnsi"/>
          <w:sz w:val="20"/>
        </w:rPr>
        <w:t>общата</w:t>
      </w:r>
      <w:r>
        <w:rPr>
          <w:rFonts w:eastAsiaTheme="minorHAnsi"/>
          <w:sz w:val="20"/>
          <w:lang w:val="pt-PT"/>
        </w:rPr>
        <w:t xml:space="preserve"> </w:t>
      </w:r>
      <w:r>
        <w:rPr>
          <w:rFonts w:eastAsiaTheme="minorHAnsi"/>
          <w:sz w:val="20"/>
        </w:rPr>
        <w:t>селскостопанска</w:t>
      </w:r>
      <w:r>
        <w:rPr>
          <w:rFonts w:eastAsiaTheme="minorHAnsi"/>
          <w:sz w:val="20"/>
          <w:lang w:val="pt-PT"/>
        </w:rPr>
        <w:t xml:space="preserve"> </w:t>
      </w:r>
      <w:r>
        <w:rPr>
          <w:rFonts w:eastAsiaTheme="minorHAnsi"/>
          <w:sz w:val="20"/>
        </w:rPr>
        <w:t>политика</w:t>
      </w:r>
      <w:r>
        <w:rPr>
          <w:rFonts w:eastAsiaTheme="minorHAnsi"/>
          <w:sz w:val="20"/>
          <w:lang w:val="pt-PT"/>
        </w:rPr>
        <w:t xml:space="preserve">, </w:t>
      </w:r>
      <w:r>
        <w:rPr>
          <w:rFonts w:eastAsiaTheme="minorHAnsi"/>
          <w:sz w:val="20"/>
        </w:rPr>
        <w:t>ОВ</w:t>
      </w:r>
      <w:r>
        <w:rPr>
          <w:rFonts w:eastAsiaTheme="minorHAnsi"/>
          <w:sz w:val="20"/>
          <w:lang w:val="pt-PT"/>
        </w:rPr>
        <w:t> L 347, 20.12.2013 </w:t>
      </w:r>
      <w:r>
        <w:rPr>
          <w:rFonts w:eastAsiaTheme="minorHAnsi"/>
          <w:sz w:val="20"/>
        </w:rPr>
        <w:t>г</w:t>
      </w:r>
      <w:r>
        <w:rPr>
          <w:rFonts w:eastAsiaTheme="minorHAnsi"/>
          <w:sz w:val="20"/>
          <w:lang w:val="pt-PT"/>
        </w:rPr>
        <w:t xml:space="preserve">., </w:t>
      </w:r>
      <w:r>
        <w:rPr>
          <w:rFonts w:eastAsiaTheme="minorHAnsi"/>
          <w:sz w:val="20"/>
        </w:rPr>
        <w:t>стр</w:t>
      </w:r>
      <w:r>
        <w:rPr>
          <w:rFonts w:eastAsiaTheme="minorHAnsi"/>
          <w:sz w:val="20"/>
          <w:lang w:val="pt-PT"/>
        </w:rPr>
        <w:t>. 549</w:t>
      </w:r>
      <w:r>
        <w:rPr>
          <w:rFonts w:ascii="EUAlbertina-Regu-Identity-H" w:hAnsi="EUAlbertina-Regu-Identity-H"/>
          <w:sz w:val="18"/>
          <w:lang w:val="pt-PT"/>
        </w:rPr>
        <w:t>.</w:t>
      </w:r>
    </w:p>
  </w:footnote>
  <w:footnote w:id="26">
    <w:p w:rsidR="006E4266" w:rsidRDefault="00E56073">
      <w:pPr>
        <w:pStyle w:val="FootnoteText"/>
        <w:ind w:left="240" w:hanging="240"/>
        <w:jc w:val="both"/>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Прогнозната</w:t>
      </w:r>
      <w:r>
        <w:rPr>
          <w:rFonts w:ascii="Times New Roman" w:hAnsi="Times New Roman"/>
          <w:lang w:val="pt-PT"/>
        </w:rPr>
        <w:t xml:space="preserve"> </w:t>
      </w:r>
      <w:r>
        <w:rPr>
          <w:rFonts w:ascii="Times New Roman" w:hAnsi="Times New Roman"/>
        </w:rPr>
        <w:t>оценка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разходите</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изпълнение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първоначално</w:t>
      </w:r>
      <w:r>
        <w:rPr>
          <w:rFonts w:ascii="Times New Roman" w:hAnsi="Times New Roman"/>
          <w:lang w:val="pt-PT"/>
        </w:rPr>
        <w:t xml:space="preserve"> </w:t>
      </w:r>
      <w:r>
        <w:rPr>
          <w:rFonts w:ascii="Times New Roman" w:hAnsi="Times New Roman"/>
        </w:rPr>
        <w:t>предложеният</w:t>
      </w:r>
      <w:r>
        <w:rPr>
          <w:rFonts w:ascii="Times New Roman" w:hAnsi="Times New Roman"/>
          <w:lang w:val="pt-PT"/>
        </w:rPr>
        <w:t xml:space="preserve"> </w:t>
      </w:r>
      <w:r>
        <w:rPr>
          <w:rFonts w:ascii="Times New Roman" w:hAnsi="Times New Roman"/>
        </w:rPr>
        <w:t>документ</w:t>
      </w:r>
      <w:r>
        <w:rPr>
          <w:rFonts w:ascii="Times New Roman" w:hAnsi="Times New Roman"/>
          <w:lang w:val="pt-PT"/>
        </w:rPr>
        <w:t xml:space="preserve"> </w:t>
      </w:r>
      <w:r>
        <w:rPr>
          <w:rFonts w:ascii="Times New Roman" w:hAnsi="Times New Roman"/>
        </w:rPr>
        <w:t>е</w:t>
      </w:r>
      <w:r>
        <w:rPr>
          <w:rFonts w:ascii="Times New Roman" w:hAnsi="Times New Roman"/>
          <w:lang w:val="pt-PT"/>
        </w:rPr>
        <w:t xml:space="preserve"> </w:t>
      </w:r>
      <w:r>
        <w:rPr>
          <w:rFonts w:ascii="Times New Roman" w:hAnsi="Times New Roman"/>
        </w:rPr>
        <w:t>посочена</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 16 </w:t>
      </w:r>
      <w:r>
        <w:rPr>
          <w:rFonts w:ascii="Times New Roman" w:hAnsi="Times New Roman"/>
        </w:rPr>
        <w:t>за</w:t>
      </w:r>
      <w:r>
        <w:rPr>
          <w:rFonts w:ascii="Times New Roman" w:hAnsi="Times New Roman"/>
          <w:lang w:val="pt-PT"/>
        </w:rPr>
        <w:t xml:space="preserve"> </w:t>
      </w:r>
      <w:r>
        <w:rPr>
          <w:rFonts w:ascii="Times New Roman" w:hAnsi="Times New Roman"/>
        </w:rPr>
        <w:t>Тематичната</w:t>
      </w:r>
      <w:r>
        <w:rPr>
          <w:rFonts w:ascii="Times New Roman" w:hAnsi="Times New Roman"/>
          <w:lang w:val="pt-PT"/>
        </w:rPr>
        <w:t xml:space="preserve"> </w:t>
      </w:r>
      <w:r>
        <w:rPr>
          <w:rFonts w:ascii="Times New Roman" w:hAnsi="Times New Roman"/>
        </w:rPr>
        <w:t>стратегия</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замърсяването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въздуха</w:t>
      </w:r>
      <w:r>
        <w:rPr>
          <w:rFonts w:ascii="Times New Roman" w:hAnsi="Times New Roman"/>
          <w:lang w:val="pt-PT"/>
        </w:rPr>
        <w:t xml:space="preserve"> (IIASA). </w:t>
      </w:r>
      <w:r>
        <w:rPr>
          <w:rFonts w:ascii="Times New Roman" w:hAnsi="Times New Roman"/>
        </w:rPr>
        <w:t>Информацията</w:t>
      </w:r>
      <w:r>
        <w:rPr>
          <w:rFonts w:ascii="Times New Roman" w:hAnsi="Times New Roman"/>
          <w:lang w:val="pt-PT"/>
        </w:rPr>
        <w:t xml:space="preserve"> </w:t>
      </w:r>
      <w:r>
        <w:rPr>
          <w:rFonts w:ascii="Times New Roman" w:hAnsi="Times New Roman"/>
        </w:rPr>
        <w:t>е</w:t>
      </w:r>
      <w:r>
        <w:rPr>
          <w:rFonts w:ascii="Times New Roman" w:hAnsi="Times New Roman"/>
          <w:lang w:val="pt-PT"/>
        </w:rPr>
        <w:t xml:space="preserve"> </w:t>
      </w:r>
      <w:r>
        <w:rPr>
          <w:rFonts w:ascii="Times New Roman" w:hAnsi="Times New Roman"/>
        </w:rPr>
        <w:t>достъпна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адрес</w:t>
      </w:r>
      <w:r>
        <w:rPr>
          <w:rFonts w:ascii="Times New Roman" w:hAnsi="Times New Roman"/>
          <w:lang w:val="pt-PT"/>
        </w:rPr>
        <w:t xml:space="preserve"> </w:t>
      </w:r>
      <w:hyperlink r:id="rId4">
        <w:r>
          <w:rPr>
            <w:rStyle w:val="Hyperlink"/>
            <w:rFonts w:ascii="Times New Roman" w:hAnsi="Times New Roman"/>
            <w:lang w:val="pt-PT"/>
          </w:rPr>
          <w:t>http://www.iiasa.ac.at/web/home/research/researchPrograms/air/policy/TSAP-reports.html</w:t>
        </w:r>
      </w:hyperlink>
    </w:p>
  </w:footnote>
  <w:footnote w:id="27">
    <w:p w:rsidR="006E4266" w:rsidRDefault="00E56073">
      <w:pPr>
        <w:pStyle w:val="FootnoteText"/>
        <w:ind w:left="240" w:hanging="240"/>
        <w:jc w:val="both"/>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Обърнете</w:t>
      </w:r>
      <w:r>
        <w:rPr>
          <w:rFonts w:ascii="Times New Roman" w:hAnsi="Times New Roman"/>
          <w:lang w:val="pt-PT"/>
        </w:rPr>
        <w:t xml:space="preserve"> </w:t>
      </w:r>
      <w:r>
        <w:rPr>
          <w:rFonts w:ascii="Times New Roman" w:hAnsi="Times New Roman"/>
        </w:rPr>
        <w:t>внимание</w:t>
      </w:r>
      <w:r>
        <w:rPr>
          <w:rFonts w:ascii="Times New Roman" w:hAnsi="Times New Roman"/>
          <w:lang w:val="pt-PT"/>
        </w:rPr>
        <w:t xml:space="preserve">, </w:t>
      </w:r>
      <w:r>
        <w:rPr>
          <w:rFonts w:ascii="Times New Roman" w:hAnsi="Times New Roman"/>
        </w:rPr>
        <w:t>че</w:t>
      </w:r>
      <w:r>
        <w:rPr>
          <w:rFonts w:ascii="Times New Roman" w:hAnsi="Times New Roman"/>
          <w:lang w:val="pt-PT"/>
        </w:rPr>
        <w:t xml:space="preserve"> </w:t>
      </w:r>
      <w:r>
        <w:rPr>
          <w:rFonts w:ascii="Times New Roman" w:hAnsi="Times New Roman"/>
        </w:rPr>
        <w:t>данните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глава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населението</w:t>
      </w:r>
      <w:r>
        <w:rPr>
          <w:rFonts w:ascii="Times New Roman" w:hAnsi="Times New Roman"/>
          <w:lang w:val="pt-PT"/>
        </w:rPr>
        <w:t xml:space="preserve"> </w:t>
      </w:r>
      <w:r>
        <w:rPr>
          <w:rFonts w:ascii="Times New Roman" w:hAnsi="Times New Roman"/>
        </w:rPr>
        <w:t>са</w:t>
      </w:r>
      <w:r>
        <w:rPr>
          <w:rFonts w:ascii="Times New Roman" w:hAnsi="Times New Roman"/>
          <w:lang w:val="pt-PT"/>
        </w:rPr>
        <w:t xml:space="preserve"> </w:t>
      </w:r>
      <w:r>
        <w:rPr>
          <w:rFonts w:ascii="Times New Roman" w:hAnsi="Times New Roman"/>
        </w:rPr>
        <w:t>осреднени</w:t>
      </w:r>
      <w:r>
        <w:rPr>
          <w:rFonts w:ascii="Times New Roman" w:hAnsi="Times New Roman"/>
          <w:lang w:val="pt-PT"/>
        </w:rPr>
        <w:t xml:space="preserve">, </w:t>
      </w:r>
      <w:r>
        <w:rPr>
          <w:rFonts w:ascii="Times New Roman" w:hAnsi="Times New Roman"/>
        </w:rPr>
        <w:t>което</w:t>
      </w:r>
      <w:r>
        <w:rPr>
          <w:rFonts w:ascii="Times New Roman" w:hAnsi="Times New Roman"/>
          <w:lang w:val="pt-PT"/>
        </w:rPr>
        <w:t xml:space="preserve"> </w:t>
      </w:r>
      <w:r>
        <w:rPr>
          <w:rFonts w:ascii="Times New Roman" w:hAnsi="Times New Roman"/>
        </w:rPr>
        <w:t>не</w:t>
      </w:r>
      <w:r>
        <w:rPr>
          <w:rFonts w:ascii="Times New Roman" w:hAnsi="Times New Roman"/>
          <w:lang w:val="pt-PT"/>
        </w:rPr>
        <w:t xml:space="preserve"> </w:t>
      </w:r>
      <w:r>
        <w:rPr>
          <w:rFonts w:ascii="Times New Roman" w:hAnsi="Times New Roman"/>
        </w:rPr>
        <w:t>отразява</w:t>
      </w:r>
      <w:r>
        <w:rPr>
          <w:rFonts w:ascii="Times New Roman" w:hAnsi="Times New Roman"/>
          <w:lang w:val="pt-PT"/>
        </w:rPr>
        <w:t xml:space="preserve"> </w:t>
      </w:r>
      <w:r>
        <w:rPr>
          <w:rFonts w:ascii="Times New Roman" w:hAnsi="Times New Roman"/>
        </w:rPr>
        <w:t>разликите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разходите</w:t>
      </w:r>
      <w:r>
        <w:rPr>
          <w:rFonts w:ascii="Times New Roman" w:hAnsi="Times New Roman"/>
          <w:lang w:val="pt-PT"/>
        </w:rPr>
        <w:t xml:space="preserve"> </w:t>
      </w:r>
      <w:r>
        <w:rPr>
          <w:rFonts w:ascii="Times New Roman" w:hAnsi="Times New Roman"/>
        </w:rPr>
        <w:t>между</w:t>
      </w:r>
      <w:r>
        <w:rPr>
          <w:rFonts w:ascii="Times New Roman" w:hAnsi="Times New Roman"/>
          <w:lang w:val="pt-PT"/>
        </w:rPr>
        <w:t xml:space="preserve"> </w:t>
      </w:r>
      <w:r>
        <w:rPr>
          <w:rFonts w:ascii="Times New Roman" w:hAnsi="Times New Roman"/>
        </w:rPr>
        <w:t>икономическите</w:t>
      </w:r>
      <w:r>
        <w:rPr>
          <w:rFonts w:ascii="Times New Roman" w:hAnsi="Times New Roman"/>
          <w:lang w:val="pt-PT"/>
        </w:rPr>
        <w:t xml:space="preserve"> </w:t>
      </w:r>
      <w:r>
        <w:rPr>
          <w:rFonts w:ascii="Times New Roman" w:hAnsi="Times New Roman"/>
        </w:rPr>
        <w:t>оператори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регионите</w:t>
      </w:r>
      <w:r>
        <w:rPr>
          <w:rFonts w:ascii="Times New Roman" w:hAnsi="Times New Roman"/>
          <w:lang w:val="pt-PT"/>
        </w:rPr>
        <w:t>.</w:t>
      </w:r>
    </w:p>
  </w:footnote>
  <w:footnote w:id="28">
    <w:p w:rsidR="006E4266" w:rsidRDefault="00E56073">
      <w:pPr>
        <w:pStyle w:val="FootnoteText"/>
        <w:ind w:left="240" w:hanging="240"/>
        <w:jc w:val="both"/>
        <w:rPr>
          <w:rFonts w:ascii="Times New Roman" w:hAnsi="Times New Roman" w:cs="Times New Roman"/>
          <w:lang w:val="pt-PT"/>
        </w:rPr>
      </w:pPr>
      <w:r>
        <w:footnoteRef/>
      </w:r>
      <w:r>
        <w:rPr>
          <w:lang w:val="pt-PT"/>
        </w:rPr>
        <w:t xml:space="preserve"> </w:t>
      </w:r>
      <w:r>
        <w:rPr>
          <w:rFonts w:ascii="Times New Roman" w:hAnsi="Times New Roman"/>
        </w:rPr>
        <w:t>Предложенията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Европейската</w:t>
      </w:r>
      <w:r>
        <w:rPr>
          <w:rFonts w:ascii="Times New Roman" w:hAnsi="Times New Roman"/>
          <w:lang w:val="pt-PT"/>
        </w:rPr>
        <w:t xml:space="preserve"> </w:t>
      </w:r>
      <w:r>
        <w:rPr>
          <w:rFonts w:ascii="Times New Roman" w:hAnsi="Times New Roman"/>
        </w:rPr>
        <w:t>комисия</w:t>
      </w:r>
      <w:r>
        <w:rPr>
          <w:rFonts w:ascii="Times New Roman" w:hAnsi="Times New Roman"/>
          <w:lang w:val="pt-PT"/>
        </w:rPr>
        <w:t xml:space="preserve"> </w:t>
      </w:r>
      <w:r>
        <w:rPr>
          <w:rFonts w:ascii="Times New Roman" w:hAnsi="Times New Roman"/>
        </w:rPr>
        <w:t>можете</w:t>
      </w:r>
      <w:r>
        <w:rPr>
          <w:rFonts w:ascii="Times New Roman" w:hAnsi="Times New Roman"/>
          <w:lang w:val="pt-PT"/>
        </w:rPr>
        <w:t xml:space="preserve"> </w:t>
      </w:r>
      <w:r>
        <w:rPr>
          <w:rFonts w:ascii="Times New Roman" w:hAnsi="Times New Roman"/>
        </w:rPr>
        <w:t>да</w:t>
      </w:r>
      <w:r>
        <w:rPr>
          <w:rFonts w:ascii="Times New Roman" w:hAnsi="Times New Roman"/>
          <w:lang w:val="pt-PT"/>
        </w:rPr>
        <w:t xml:space="preserve"> </w:t>
      </w:r>
      <w:r>
        <w:rPr>
          <w:rFonts w:ascii="Times New Roman" w:hAnsi="Times New Roman"/>
        </w:rPr>
        <w:t>видите</w:t>
      </w:r>
      <w:r>
        <w:rPr>
          <w:rFonts w:ascii="Times New Roman" w:hAnsi="Times New Roman"/>
          <w:lang w:val="pt-PT"/>
        </w:rPr>
        <w:t xml:space="preserve"> </w:t>
      </w:r>
      <w:r>
        <w:rPr>
          <w:rFonts w:ascii="Times New Roman" w:hAnsi="Times New Roman"/>
        </w:rPr>
        <w:t>чрез</w:t>
      </w:r>
      <w:r>
        <w:rPr>
          <w:rFonts w:ascii="Times New Roman" w:hAnsi="Times New Roman"/>
          <w:lang w:val="pt-PT"/>
        </w:rPr>
        <w:t xml:space="preserve"> </w:t>
      </w:r>
      <w:r>
        <w:rPr>
          <w:rFonts w:ascii="Times New Roman" w:hAnsi="Times New Roman"/>
        </w:rPr>
        <w:t>следния</w:t>
      </w:r>
      <w:r>
        <w:rPr>
          <w:rFonts w:ascii="Times New Roman" w:hAnsi="Times New Roman"/>
          <w:lang w:val="pt-PT"/>
        </w:rPr>
        <w:t xml:space="preserve"> </w:t>
      </w:r>
      <w:r>
        <w:rPr>
          <w:rFonts w:ascii="Times New Roman" w:hAnsi="Times New Roman"/>
        </w:rPr>
        <w:t>линк</w:t>
      </w:r>
      <w:r>
        <w:rPr>
          <w:lang w:val="pt-PT"/>
        </w:rPr>
        <w:t xml:space="preserve"> </w:t>
      </w:r>
      <w:hyperlink r:id="rId5" w:anchor="tab-0-0">
        <w:r>
          <w:rPr>
            <w:rFonts w:ascii="Times New Roman" w:hAnsi="Times New Roman"/>
            <w:lang w:val="pt-PT"/>
          </w:rPr>
          <w:t>https://ec.europa.eu/clima/policies/strategies/2030_en#tab-0-0</w:t>
        </w:r>
      </w:hyperlink>
      <w:r>
        <w:rPr>
          <w:rFonts w:ascii="Times New Roman" w:hAnsi="Times New Roman"/>
          <w:lang w:val="pt-PT"/>
        </w:rPr>
        <w:t xml:space="preserve">; </w:t>
      </w:r>
      <w:r>
        <w:rPr>
          <w:rFonts w:ascii="Times New Roman" w:hAnsi="Times New Roman"/>
        </w:rPr>
        <w:t>официалното</w:t>
      </w:r>
      <w:r>
        <w:rPr>
          <w:rFonts w:ascii="Times New Roman" w:hAnsi="Times New Roman"/>
          <w:lang w:val="pt-PT"/>
        </w:rPr>
        <w:t xml:space="preserve"> </w:t>
      </w:r>
      <w:r>
        <w:rPr>
          <w:rFonts w:ascii="Times New Roman" w:hAnsi="Times New Roman"/>
        </w:rPr>
        <w:t>приемане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споразум</w:t>
      </w:r>
      <w:r>
        <w:rPr>
          <w:rFonts w:ascii="Times New Roman" w:hAnsi="Times New Roman"/>
        </w:rPr>
        <w:t>енията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съвместно</w:t>
      </w:r>
      <w:r>
        <w:rPr>
          <w:rFonts w:ascii="Times New Roman" w:hAnsi="Times New Roman"/>
          <w:lang w:val="pt-PT"/>
        </w:rPr>
        <w:t xml:space="preserve"> </w:t>
      </w:r>
      <w:r>
        <w:rPr>
          <w:rFonts w:ascii="Times New Roman" w:hAnsi="Times New Roman"/>
        </w:rPr>
        <w:t>вземане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решения</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2017 </w:t>
      </w:r>
      <w:r>
        <w:rPr>
          <w:rFonts w:ascii="Times New Roman" w:hAnsi="Times New Roman"/>
        </w:rPr>
        <w:t>г</w:t>
      </w:r>
      <w:r>
        <w:rPr>
          <w:rFonts w:ascii="Times New Roman" w:hAnsi="Times New Roman"/>
          <w:lang w:val="pt-PT"/>
        </w:rPr>
        <w:t xml:space="preserve">. </w:t>
      </w:r>
      <w:r>
        <w:rPr>
          <w:rFonts w:ascii="Times New Roman" w:hAnsi="Times New Roman"/>
        </w:rPr>
        <w:t>засега</w:t>
      </w:r>
      <w:r>
        <w:rPr>
          <w:rFonts w:ascii="Times New Roman" w:hAnsi="Times New Roman"/>
          <w:lang w:val="pt-PT"/>
        </w:rPr>
        <w:t xml:space="preserve"> </w:t>
      </w:r>
      <w:r>
        <w:rPr>
          <w:rFonts w:ascii="Times New Roman" w:hAnsi="Times New Roman"/>
        </w:rPr>
        <w:t>все</w:t>
      </w:r>
      <w:r>
        <w:rPr>
          <w:rFonts w:ascii="Times New Roman" w:hAnsi="Times New Roman"/>
          <w:lang w:val="pt-PT"/>
        </w:rPr>
        <w:t xml:space="preserve"> </w:t>
      </w:r>
      <w:r>
        <w:rPr>
          <w:rFonts w:ascii="Times New Roman" w:hAnsi="Times New Roman"/>
        </w:rPr>
        <w:t>още</w:t>
      </w:r>
      <w:r>
        <w:rPr>
          <w:rFonts w:ascii="Times New Roman" w:hAnsi="Times New Roman"/>
          <w:lang w:val="pt-PT"/>
        </w:rPr>
        <w:t xml:space="preserve"> </w:t>
      </w:r>
      <w:r>
        <w:rPr>
          <w:rFonts w:ascii="Times New Roman" w:hAnsi="Times New Roman"/>
        </w:rPr>
        <w:t>предстои</w:t>
      </w:r>
      <w:r>
        <w:rPr>
          <w:rFonts w:ascii="Times New Roman" w:hAnsi="Times New Roman"/>
          <w:lang w:val="pt-PT"/>
        </w:rPr>
        <w:t>.</w:t>
      </w:r>
    </w:p>
  </w:footnote>
  <w:footnote w:id="29">
    <w:p w:rsidR="006E4266" w:rsidRDefault="00E56073">
      <w:pPr>
        <w:pStyle w:val="FootnoteText"/>
        <w:ind w:left="240" w:hanging="240"/>
        <w:rPr>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Подробни</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този</w:t>
      </w:r>
      <w:r>
        <w:rPr>
          <w:rFonts w:ascii="Times New Roman" w:hAnsi="Times New Roman"/>
          <w:lang w:val="pt-PT"/>
        </w:rPr>
        <w:t xml:space="preserve"> </w:t>
      </w:r>
      <w:r>
        <w:rPr>
          <w:rFonts w:ascii="Times New Roman" w:hAnsi="Times New Roman"/>
        </w:rPr>
        <w:t>въпрос</w:t>
      </w:r>
      <w:r>
        <w:rPr>
          <w:rFonts w:ascii="Times New Roman" w:hAnsi="Times New Roman"/>
          <w:lang w:val="pt-PT"/>
        </w:rPr>
        <w:t xml:space="preserve"> </w:t>
      </w:r>
      <w:r>
        <w:rPr>
          <w:rFonts w:ascii="Times New Roman" w:hAnsi="Times New Roman"/>
        </w:rPr>
        <w:t>има</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придружаващия</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International Institute for Applied Systems Analysis (</w:t>
      </w:r>
      <w:r>
        <w:rPr>
          <w:rFonts w:ascii="Times New Roman" w:hAnsi="Times New Roman"/>
        </w:rPr>
        <w:t>Международния</w:t>
      </w:r>
      <w:r>
        <w:rPr>
          <w:rFonts w:ascii="Times New Roman" w:hAnsi="Times New Roman"/>
          <w:lang w:val="pt-PT"/>
        </w:rPr>
        <w:t xml:space="preserve"> </w:t>
      </w:r>
      <w:r>
        <w:rPr>
          <w:rFonts w:ascii="Times New Roman" w:hAnsi="Times New Roman"/>
        </w:rPr>
        <w:t>институт</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анализ</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приложни</w:t>
      </w:r>
      <w:r>
        <w:rPr>
          <w:rFonts w:ascii="Times New Roman" w:hAnsi="Times New Roman"/>
          <w:lang w:val="pt-PT"/>
        </w:rPr>
        <w:t xml:space="preserve"> </w:t>
      </w:r>
      <w:r>
        <w:rPr>
          <w:rFonts w:ascii="Times New Roman" w:hAnsi="Times New Roman"/>
        </w:rPr>
        <w:t>системи</w:t>
      </w:r>
      <w:r>
        <w:rPr>
          <w:rFonts w:ascii="Times New Roman" w:hAnsi="Times New Roman"/>
          <w:lang w:val="pt-PT"/>
        </w:rPr>
        <w:t xml:space="preserve">), </w:t>
      </w:r>
      <w:r>
        <w:rPr>
          <w:rFonts w:ascii="Times New Roman" w:hAnsi="Times New Roman"/>
        </w:rPr>
        <w:t>озаглавен</w:t>
      </w:r>
      <w:r>
        <w:rPr>
          <w:rFonts w:ascii="Times New Roman" w:hAnsi="Times New Roman"/>
          <w:lang w:val="pt-PT"/>
        </w:rPr>
        <w:t xml:space="preserve"> „Progress towards the achievement of the EU's air quality and emissions objectives“ „</w:t>
      </w:r>
      <w:r>
        <w:rPr>
          <w:rFonts w:ascii="Times New Roman" w:hAnsi="Times New Roman"/>
        </w:rPr>
        <w:t>Напредък</w:t>
      </w:r>
      <w:r>
        <w:rPr>
          <w:rFonts w:ascii="Times New Roman" w:hAnsi="Times New Roman"/>
          <w:lang w:val="pt-PT"/>
        </w:rPr>
        <w:t xml:space="preserve"> </w:t>
      </w:r>
      <w:r>
        <w:rPr>
          <w:rFonts w:ascii="Times New Roman" w:hAnsi="Times New Roman"/>
        </w:rPr>
        <w:t>към</w:t>
      </w:r>
      <w:r>
        <w:rPr>
          <w:rFonts w:ascii="Times New Roman" w:hAnsi="Times New Roman"/>
          <w:lang w:val="pt-PT"/>
        </w:rPr>
        <w:t xml:space="preserve"> </w:t>
      </w:r>
      <w:r>
        <w:rPr>
          <w:rFonts w:ascii="Times New Roman" w:hAnsi="Times New Roman"/>
        </w:rPr>
        <w:t>постигане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целите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ЕС</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качеството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атмосферния</w:t>
      </w:r>
      <w:r>
        <w:rPr>
          <w:rFonts w:ascii="Times New Roman" w:hAnsi="Times New Roman"/>
          <w:lang w:val="pt-PT"/>
        </w:rPr>
        <w:t xml:space="preserve"> </w:t>
      </w:r>
      <w:r>
        <w:rPr>
          <w:rFonts w:ascii="Times New Roman" w:hAnsi="Times New Roman"/>
        </w:rPr>
        <w:t>въздух</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емисиите</w:t>
      </w:r>
      <w:r>
        <w:rPr>
          <w:rFonts w:ascii="Times New Roman" w:hAnsi="Times New Roman"/>
          <w:lang w:val="pt-PT"/>
        </w:rPr>
        <w:t>“.</w:t>
      </w:r>
    </w:p>
  </w:footnote>
  <w:footnote w:id="30">
    <w:p w:rsidR="006E4266" w:rsidRDefault="00E56073">
      <w:pPr>
        <w:pStyle w:val="FootnoteText"/>
        <w:rPr>
          <w:lang w:val="pt-PT"/>
        </w:rPr>
      </w:pPr>
      <w:r>
        <w:footnoteRef/>
      </w:r>
      <w:r>
        <w:rPr>
          <w:lang w:val="pt-PT"/>
        </w:rPr>
        <w:t xml:space="preserve"> </w:t>
      </w:r>
      <w:r>
        <w:rPr>
          <w:rFonts w:ascii="Times New Roman" w:hAnsi="Times New Roman"/>
        </w:rPr>
        <w:t>Решение</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изпълнение</w:t>
      </w:r>
      <w:r>
        <w:rPr>
          <w:rFonts w:ascii="Times New Roman" w:hAnsi="Times New Roman"/>
          <w:lang w:val="pt-PT"/>
        </w:rPr>
        <w:t> (</w:t>
      </w:r>
      <w:r>
        <w:rPr>
          <w:rFonts w:ascii="Times New Roman" w:hAnsi="Times New Roman"/>
        </w:rPr>
        <w:t>ЕС</w:t>
      </w:r>
      <w:r>
        <w:rPr>
          <w:rFonts w:ascii="Times New Roman" w:hAnsi="Times New Roman"/>
          <w:lang w:val="pt-PT"/>
        </w:rPr>
        <w:t xml:space="preserve">) 2017/302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O</w:t>
      </w:r>
      <w:r>
        <w:rPr>
          <w:rFonts w:ascii="Times New Roman" w:hAnsi="Times New Roman"/>
        </w:rPr>
        <w:t>В</w:t>
      </w:r>
      <w:r>
        <w:rPr>
          <w:rFonts w:ascii="Times New Roman" w:hAnsi="Times New Roman"/>
          <w:lang w:val="pt-PT"/>
        </w:rPr>
        <w:t> L 43, 21.2.2017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23</w:t>
      </w:r>
      <w:r>
        <w:rPr>
          <w:rFonts w:ascii="Times New Roman" w:hAnsi="Times New Roman"/>
          <w:lang w:val="pt-PT"/>
        </w:rPr>
        <w:t>1—279.</w:t>
      </w:r>
    </w:p>
  </w:footnote>
  <w:footnote w:id="31">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91/676/</w:t>
      </w:r>
      <w:r>
        <w:rPr>
          <w:rFonts w:ascii="Times New Roman" w:hAnsi="Times New Roman"/>
        </w:rPr>
        <w:t>ЕИО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ОВ</w:t>
      </w:r>
      <w:r>
        <w:rPr>
          <w:rFonts w:ascii="Times New Roman" w:hAnsi="Times New Roman"/>
          <w:lang w:val="pt-PT"/>
        </w:rPr>
        <w:t> L 375, 31.12.1991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w:t>
      </w:r>
    </w:p>
  </w:footnote>
  <w:footnote w:id="32">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Предложения</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мерките</w:t>
      </w:r>
      <w:r>
        <w:rPr>
          <w:rFonts w:ascii="Times New Roman" w:hAnsi="Times New Roman"/>
          <w:lang w:val="pt-PT"/>
        </w:rPr>
        <w:t xml:space="preserve"> </w:t>
      </w:r>
      <w:r>
        <w:rPr>
          <w:rFonts w:ascii="Times New Roman" w:hAnsi="Times New Roman"/>
        </w:rPr>
        <w:t>във</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извън</w:t>
      </w:r>
      <w:r>
        <w:rPr>
          <w:rFonts w:ascii="Times New Roman" w:hAnsi="Times New Roman"/>
          <w:lang w:val="pt-PT"/>
        </w:rPr>
        <w:t xml:space="preserve"> </w:t>
      </w:r>
      <w:r>
        <w:rPr>
          <w:rFonts w:ascii="Times New Roman" w:hAnsi="Times New Roman"/>
        </w:rPr>
        <w:t>обхвата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Схемата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търговия</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емисии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2030 </w:t>
      </w:r>
      <w:r>
        <w:rPr>
          <w:rFonts w:ascii="Times New Roman" w:hAnsi="Times New Roman"/>
        </w:rPr>
        <w:t>г</w:t>
      </w:r>
      <w:r>
        <w:rPr>
          <w:rFonts w:ascii="Times New Roman" w:hAnsi="Times New Roman"/>
          <w:lang w:val="pt-PT"/>
        </w:rPr>
        <w:t xml:space="preserve">., </w:t>
      </w:r>
      <w:hyperlink r:id="rId6" w:history="1">
        <w:r>
          <w:rPr>
            <w:rStyle w:val="Hyperlink"/>
            <w:rFonts w:ascii="Times New Roman" w:hAnsi="Times New Roman" w:cs="Times New Roman"/>
            <w:lang w:val="pt-PT"/>
          </w:rPr>
          <w:t>https://ec.europa.eu/clima/policies/strategies/2030_en</w:t>
        </w:r>
      </w:hyperlink>
      <w:r>
        <w:rPr>
          <w:rFonts w:ascii="Times New Roman" w:hAnsi="Times New Roman" w:cs="Times New Roman"/>
          <w:lang w:val="pt-PT"/>
        </w:rPr>
        <w:t xml:space="preserve"> </w:t>
      </w:r>
    </w:p>
    <w:p w:rsidR="006E4266" w:rsidRDefault="006E4266">
      <w:pPr>
        <w:pStyle w:val="FootnoteText"/>
        <w:rPr>
          <w:rFonts w:ascii="Times New Roman" w:hAnsi="Times New Roman" w:cs="Times New Roman"/>
          <w:lang w:val="pt-PT"/>
        </w:rPr>
      </w:pPr>
    </w:p>
  </w:footnote>
  <w:footnote w:id="33">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w:t>
      </w:r>
      <w:hyperlink r:id="rId7">
        <w:r>
          <w:rPr>
            <w:rStyle w:val="Hyperlink"/>
            <w:rFonts w:ascii="Times New Roman" w:hAnsi="Times New Roman"/>
            <w:lang w:val="pt-PT"/>
          </w:rPr>
          <w:t>https://cohesiondata.ec.europa.eu/</w:t>
        </w:r>
      </w:hyperlink>
      <w:r>
        <w:rPr>
          <w:rFonts w:ascii="Times New Roman" w:hAnsi="Times New Roman"/>
          <w:lang w:val="pt-PT"/>
        </w:rPr>
        <w:t xml:space="preserve"> </w:t>
      </w:r>
    </w:p>
  </w:footnote>
  <w:footnote w:id="34">
    <w:p w:rsidR="006E4266" w:rsidRDefault="00E56073">
      <w:pPr>
        <w:pStyle w:val="FootnoteText"/>
        <w:rPr>
          <w:lang w:val="pt-PT"/>
        </w:rPr>
      </w:pPr>
      <w:r>
        <w:footnoteRef/>
      </w:r>
      <w:r>
        <w:rPr>
          <w:lang w:val="pt-PT"/>
        </w:rPr>
        <w:t xml:space="preserve"> </w:t>
      </w:r>
      <w:r>
        <w:rPr>
          <w:rFonts w:ascii="Times New Roman" w:hAnsi="Times New Roman" w:cs="Times New Roman"/>
          <w:lang w:val="pt-PT"/>
        </w:rPr>
        <w:t>Report by the company</w:t>
      </w:r>
      <w:r>
        <w:rPr>
          <w:lang w:val="pt-PT"/>
        </w:rPr>
        <w:t xml:space="preserve"> </w:t>
      </w:r>
      <w:r>
        <w:rPr>
          <w:rFonts w:ascii="Times New Roman" w:hAnsi="Times New Roman" w:cs="Times New Roman"/>
          <w:i/>
          <w:lang w:val="pt-PT"/>
        </w:rPr>
        <w:t>Ricardo Energy and Environment</w:t>
      </w:r>
      <w:r>
        <w:rPr>
          <w:rFonts w:ascii="Times New Roman" w:hAnsi="Times New Roman" w:cs="Times New Roman"/>
          <w:lang w:val="pt-PT"/>
        </w:rPr>
        <w:t xml:space="preserve"> on a tracking methodology for air quality, forthcoming</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дружеството</w:t>
      </w:r>
      <w:r>
        <w:rPr>
          <w:rFonts w:ascii="Times New Roman" w:hAnsi="Times New Roman"/>
          <w:lang w:val="pt-PT"/>
        </w:rPr>
        <w:t xml:space="preserve"> </w:t>
      </w:r>
      <w:r>
        <w:rPr>
          <w:rFonts w:ascii="Times New Roman" w:hAnsi="Times New Roman" w:cs="Times New Roman"/>
          <w:i/>
          <w:lang w:val="pt-PT"/>
        </w:rPr>
        <w:t>Ricardo Energy and Environment</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методика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проследяване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качество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въздуха</w:t>
      </w:r>
      <w:r>
        <w:rPr>
          <w:rFonts w:ascii="Times New Roman" w:hAnsi="Times New Roman"/>
          <w:lang w:val="pt-PT"/>
        </w:rPr>
        <w:t xml:space="preserve">, </w:t>
      </w:r>
      <w:r>
        <w:rPr>
          <w:rFonts w:ascii="Times New Roman" w:hAnsi="Times New Roman"/>
        </w:rPr>
        <w:t>предстоящ</w:t>
      </w:r>
      <w:r>
        <w:rPr>
          <w:rFonts w:ascii="Times New Roman" w:hAnsi="Times New Roman"/>
          <w:lang w:val="pt-PT"/>
        </w:rPr>
        <w:t>)</w:t>
      </w:r>
    </w:p>
  </w:footnote>
  <w:footnote w:id="35">
    <w:p w:rsidR="006E4266" w:rsidRDefault="00E56073">
      <w:pPr>
        <w:pStyle w:val="FootnoteText"/>
        <w:spacing w:after="120"/>
        <w:rPr>
          <w:lang w:val="pt-PT"/>
        </w:rPr>
      </w:pPr>
      <w:r>
        <w:footnoteRef/>
      </w:r>
      <w:r>
        <w:rPr>
          <w:lang w:val="pt-PT"/>
        </w:rPr>
        <w:t xml:space="preserve"> </w:t>
      </w:r>
      <w:r>
        <w:rPr>
          <w:lang w:val="pt-PT"/>
        </w:rPr>
        <w:tab/>
        <w:t>COM(2018)321</w:t>
      </w:r>
    </w:p>
  </w:footnote>
  <w:footnote w:id="36">
    <w:p w:rsidR="006E4266" w:rsidRDefault="00E56073">
      <w:pPr>
        <w:pStyle w:val="FootnoteText"/>
        <w:rPr>
          <w:rFonts w:ascii="Times New Roman" w:hAnsi="Times New Roman" w:cs="Times New Roman"/>
          <w:lang w:val="pt-PT"/>
        </w:rPr>
      </w:pPr>
      <w:r>
        <w:rPr>
          <w:rFonts w:ascii="Times New Roman" w:hAnsi="Times New Roman"/>
        </w:rPr>
        <w:footnoteRef/>
      </w:r>
      <w:r>
        <w:rPr>
          <w:rFonts w:ascii="Times New Roman" w:hAnsi="Times New Roman"/>
          <w:lang w:val="pt-PT"/>
        </w:rPr>
        <w:t xml:space="preserve"> CZ, FI, DE, NL, RO, SK, ES, SE.  </w:t>
      </w:r>
      <w:r>
        <w:rPr>
          <w:rFonts w:ascii="Times New Roman" w:hAnsi="Times New Roman"/>
        </w:rPr>
        <w:t>Вж</w:t>
      </w:r>
      <w:r>
        <w:rPr>
          <w:rFonts w:ascii="Times New Roman" w:hAnsi="Times New Roman"/>
          <w:lang w:val="pt-PT"/>
        </w:rPr>
        <w:t xml:space="preserve">. </w:t>
      </w:r>
      <w:r>
        <w:rPr>
          <w:rFonts w:ascii="Times New Roman" w:hAnsi="Times New Roman"/>
        </w:rPr>
        <w:t>също</w:t>
      </w:r>
      <w:r>
        <w:rPr>
          <w:rFonts w:ascii="Times New Roman" w:hAnsi="Times New Roman"/>
          <w:lang w:val="pt-PT"/>
        </w:rPr>
        <w:t xml:space="preserve">: </w:t>
      </w:r>
      <w:hyperlink r:id="rId8">
        <w:r>
          <w:rPr>
            <w:rStyle w:val="Hyperlink"/>
            <w:rFonts w:ascii="Times New Roman" w:hAnsi="Times New Roman"/>
            <w:lang w:val="pt-PT"/>
          </w:rPr>
          <w:t>http://www.unece.org/env/lrtap/status/lrtap_s.html</w:t>
        </w:r>
      </w:hyperlink>
      <w:r>
        <w:rPr>
          <w:rFonts w:ascii="Times New Roman" w:hAnsi="Times New Roman"/>
          <w:lang w:val="pt-PT"/>
        </w:rPr>
        <w:t xml:space="preserve"> </w:t>
      </w:r>
    </w:p>
    <w:p w:rsidR="006E4266" w:rsidRDefault="006E4266">
      <w:pPr>
        <w:pStyle w:val="FootnoteText"/>
        <w:rPr>
          <w:lang w:val="pt-PT"/>
        </w:rPr>
      </w:pPr>
    </w:p>
  </w:footnote>
  <w:footnote w:id="37">
    <w:p w:rsidR="006E4266" w:rsidRDefault="00E56073">
      <w:pPr>
        <w:pStyle w:val="FootnoteText"/>
        <w:rPr>
          <w:lang w:val="pt-PT"/>
        </w:rPr>
      </w:pPr>
      <w:r>
        <w:footnoteRef/>
      </w:r>
      <w:r>
        <w:rPr>
          <w:lang w:val="pt-PT"/>
        </w:rPr>
        <w:t xml:space="preserve"> COM(2018) 330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3" w:rsidRPr="00E56073" w:rsidRDefault="00E56073" w:rsidP="00E560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3" w:rsidRPr="00E56073" w:rsidRDefault="00E56073" w:rsidP="00E5607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3" w:rsidRPr="00E56073" w:rsidRDefault="00E56073" w:rsidP="00E5607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66" w:rsidRDefault="006E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FB04E9"/>
    <w:multiLevelType w:val="hybridMultilevel"/>
    <w:tmpl w:val="00A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759B3"/>
    <w:multiLevelType w:val="hybridMultilevel"/>
    <w:tmpl w:val="CC6A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0D2CB0"/>
    <w:multiLevelType w:val="hybridMultilevel"/>
    <w:tmpl w:val="A2F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orrects document COM (2018) 446 final of 7.6.2018._x000b__x000b_Concerns all language versions._x000b__x000b_Replacement of figure 2a on page 7 and of figure 5 on page 12_x000b_The text shall read as follows:_x000b_"/>
    <w:docVar w:name="LW_COVERPAGE_EXISTS" w:val="True"/>
    <w:docVar w:name="LW_COVERPAGE_GUID" w:val="1699072E-46B1-46FB-A4B4-B5F760FD6E01"/>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u1041?\u1088?\u1102?\u1082?\u1089?\u1077?\u1083?,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8)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5?\u1066?\u1056?\u1042?\u1048? \u1054?\u1041?\u1047?\u1054?\u1056? \u1053?\u1040? \u1052?\u1045?\u1056?\u1050?\u1048?\u1058?\u1045? \u1047?\u1040? \u1063?\u1048?\u1057?\u1058?\u1054?\u1058?\u1040? \u1053?\u1040? \u1042?\u1066?\u1047?\u1044?\u1059?\u1061?\u104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6E4266"/>
    <w:rsid w:val="006E4266"/>
    <w:rsid w:val="00E5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77AF862-0911-4174-B4A8-DCA405D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lang w:val="fr-FR"/>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8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7.xml"/><Relationship Id="rId33" Type="http://schemas.openxmlformats.org/officeDocument/2006/relationships/image" Target="media/image8.emf"/><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7.emf"/><Relationship Id="rId37" Type="http://schemas.openxmlformats.org/officeDocument/2006/relationships/header" Target="header11.xml"/><Relationship Id="rId40" Type="http://schemas.openxmlformats.org/officeDocument/2006/relationships/header" Target="header1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10.e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lrtap/status/lrtap_s.html" TargetMode="External"/><Relationship Id="rId3" Type="http://schemas.openxmlformats.org/officeDocument/2006/relationships/hyperlink" Target="http://ec.europa.eu/environment/air/clean_air/dialogue.htm" TargetMode="External"/><Relationship Id="rId7" Type="http://schemas.openxmlformats.org/officeDocument/2006/relationships/hyperlink" Target="https://cohesiondata.ec.europa.eu/" TargetMode="External"/><Relationship Id="rId2" Type="http://schemas.openxmlformats.org/officeDocument/2006/relationships/hyperlink" Target="http://ec.europa.eu/environment/eir/index_en.htm" TargetMode="External"/><Relationship Id="rId1" Type="http://schemas.openxmlformats.org/officeDocument/2006/relationships/hyperlink" Target="http://ec.europa.eu/environment/air/clean_air/review.htm" TargetMode="External"/><Relationship Id="rId6" Type="http://schemas.openxmlformats.org/officeDocument/2006/relationships/hyperlink" Target="https://ec.europa.eu/clima/policies/strategies/2030_en" TargetMode="External"/><Relationship Id="rId5" Type="http://schemas.openxmlformats.org/officeDocument/2006/relationships/hyperlink" Target="https://ec.europa.eu/clima/policies/strategies/2030_en" TargetMode="External"/><Relationship Id="rId4" Type="http://schemas.openxmlformats.org/officeDocument/2006/relationships/hyperlink" Target="http://www.iiasa.ac.at/web/home/research/researchPrograms/air/policy/TSA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81B9-5210-4229-88BC-35AC718D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20</Pages>
  <Words>5828</Words>
  <Characters>32875</Characters>
  <Application>Microsoft Office Word</Application>
  <DocSecurity>0</DocSecurity>
  <Lines>684</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BALSA GARCIA Maria Del Carmen (SG)</cp:lastModifiedBy>
  <cp:revision>21</cp:revision>
  <cp:lastPrinted>2018-05-25T05:58:00Z</cp:lastPrinted>
  <dcterms:created xsi:type="dcterms:W3CDTF">2019-01-10T12:42:00Z</dcterms:created>
  <dcterms:modified xsi:type="dcterms:W3CDTF">2019-01-29T14:10:00Z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