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5C" w:rsidRDefault="0086548F" w:rsidP="0086548F">
      <w:pPr>
        <w:pStyle w:val="Pagedecouverture"/>
        <w:rPr>
          <w:noProof/>
          <w:lang w:val="en-GB" w:eastAsia="en-GB"/>
        </w:rPr>
      </w:pPr>
      <w:bookmarkStart w:id="0" w:name="LW_BM_COVERPAGE"/>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B04C2DC-C439-42E4-BFD0-F1187C9F3EE1" style="width:450.6pt;height:428.4pt">
            <v:imagedata r:id="rId8" o:title=""/>
          </v:shape>
        </w:pict>
      </w:r>
    </w:p>
    <w:bookmarkEnd w:id="0"/>
    <w:p w:rsidR="003D205C" w:rsidRDefault="003D205C">
      <w:pPr>
        <w:pStyle w:val="Pagedecouverture"/>
        <w:rPr>
          <w:noProof/>
          <w:lang w:val="en-GB" w:eastAsia="en-GB"/>
        </w:rPr>
        <w:sectPr w:rsidR="003D205C" w:rsidSect="0086548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D205C" w:rsidRDefault="0086548F">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lang w:val="en-GB" w:eastAsia="en-GB"/>
        </w:rPr>
      </w:pPr>
      <w:bookmarkStart w:id="1" w:name="_Toc359571817"/>
      <w:bookmarkStart w:id="2" w:name="_Toc359483856"/>
      <w:bookmarkStart w:id="3" w:name="_Toc359596073"/>
      <w:bookmarkStart w:id="4" w:name="_GoBack"/>
      <w:bookmarkEnd w:id="1"/>
      <w:bookmarkEnd w:id="4"/>
      <w:r>
        <w:rPr>
          <w:rFonts w:ascii="Times New Roman" w:eastAsia="Times New Roman" w:hAnsi="Times New Roman" w:cs="Times New Roman"/>
          <w:b/>
          <w:smallCaps/>
          <w:noProof/>
          <w:sz w:val="24"/>
          <w:szCs w:val="20"/>
          <w:lang w:val="en-GB" w:eastAsia="en-GB"/>
        </w:rPr>
        <w:lastRenderedPageBreak/>
        <w:t>The first Clean Air Outlook</w:t>
      </w:r>
    </w:p>
    <w:p w:rsidR="003D205C" w:rsidRDefault="0086548F">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 xml:space="preserve">  Introduction</w:t>
      </w:r>
      <w:bookmarkEnd w:id="2"/>
      <w:bookmarkEnd w:id="3"/>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Air pollution remains a major environmental and health problem in the EU.  Many European cities </w:t>
      </w:r>
      <w:r>
        <w:rPr>
          <w:rFonts w:ascii="Times New Roman" w:eastAsia="Times New Roman" w:hAnsi="Times New Roman" w:cs="Times New Roman"/>
          <w:noProof/>
          <w:sz w:val="24"/>
          <w:szCs w:val="20"/>
          <w:lang w:val="en-GB" w:eastAsia="en-GB"/>
        </w:rPr>
        <w:t>suffer from poor air quality and exceed the EU standards set out in the Ambient Air Quality Directive 2008/50/EC</w:t>
      </w:r>
      <w:r>
        <w:rPr>
          <w:rFonts w:ascii="Times New Roman" w:eastAsia="Times New Roman" w:hAnsi="Times New Roman" w:cs="Times New Roman"/>
          <w:noProof/>
          <w:sz w:val="24"/>
          <w:szCs w:val="20"/>
          <w:vertAlign w:val="superscript"/>
          <w:lang w:val="en-GB" w:eastAsia="en-GB"/>
        </w:rPr>
        <w:footnoteReference w:id="1"/>
      </w:r>
      <w:r>
        <w:rPr>
          <w:rFonts w:ascii="Times New Roman" w:eastAsia="Times New Roman" w:hAnsi="Times New Roman" w:cs="Times New Roman"/>
          <w:noProof/>
          <w:sz w:val="24"/>
          <w:szCs w:val="20"/>
          <w:lang w:val="en-GB" w:eastAsia="en-GB"/>
        </w:rPr>
        <w:t>, and still more exceed the guidelines recommended by the World Health Organization (WHO). The European Environment Agency has estimated that a</w:t>
      </w:r>
      <w:r>
        <w:rPr>
          <w:rFonts w:ascii="Times New Roman" w:eastAsia="Times New Roman" w:hAnsi="Times New Roman" w:cs="Times New Roman"/>
          <w:noProof/>
          <w:sz w:val="24"/>
          <w:szCs w:val="20"/>
          <w:lang w:val="en-GB" w:eastAsia="en-GB"/>
        </w:rPr>
        <w:t>round 400 000 people died prematurely in the EU in 2015 as a result of air pollution</w:t>
      </w:r>
      <w:r>
        <w:rPr>
          <w:rFonts w:ascii="Times New Roman" w:eastAsia="Times New Roman" w:hAnsi="Times New Roman" w:cs="Times New Roman"/>
          <w:noProof/>
          <w:sz w:val="24"/>
          <w:szCs w:val="20"/>
          <w:vertAlign w:val="superscript"/>
          <w:lang w:val="en-GB" w:eastAsia="en-GB"/>
        </w:rPr>
        <w:footnoteReference w:id="2"/>
      </w:r>
      <w:r>
        <w:rPr>
          <w:rFonts w:ascii="Times New Roman" w:eastAsia="Times New Roman" w:hAnsi="Times New Roman" w:cs="Times New Roman"/>
          <w:noProof/>
          <w:sz w:val="24"/>
          <w:szCs w:val="20"/>
          <w:lang w:val="en-GB" w:eastAsia="en-GB"/>
        </w:rPr>
        <w:t>.</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EU review of air policy in 2011-2013 culminated in the Clean Air Policy Package of December 2013</w:t>
      </w:r>
      <w:r>
        <w:rPr>
          <w:rFonts w:ascii="Times New Roman" w:eastAsia="Times New Roman" w:hAnsi="Times New Roman" w:cs="Times New Roman"/>
          <w:noProof/>
          <w:sz w:val="24"/>
          <w:szCs w:val="20"/>
          <w:vertAlign w:val="superscript"/>
          <w:lang w:val="en-GB" w:eastAsia="en-GB"/>
        </w:rPr>
        <w:footnoteReference w:id="3"/>
      </w:r>
      <w:r>
        <w:rPr>
          <w:rFonts w:ascii="Times New Roman" w:eastAsia="Times New Roman" w:hAnsi="Times New Roman" w:cs="Times New Roman"/>
          <w:noProof/>
          <w:sz w:val="24"/>
          <w:szCs w:val="20"/>
          <w:lang w:val="en-GB" w:eastAsia="en-GB"/>
        </w:rPr>
        <w:t>.  This comprised a communication – a Clean Air Programme for Europe</w:t>
      </w:r>
      <w:r>
        <w:rPr>
          <w:rFonts w:ascii="Times New Roman" w:eastAsia="Times New Roman" w:hAnsi="Times New Roman" w:cs="Times New Roman"/>
          <w:noProof/>
          <w:sz w:val="24"/>
          <w:szCs w:val="20"/>
          <w:vertAlign w:val="superscript"/>
          <w:lang w:val="en-GB" w:eastAsia="en-GB"/>
        </w:rPr>
        <w:footnoteReference w:id="4"/>
      </w:r>
      <w:r>
        <w:rPr>
          <w:rFonts w:ascii="Times New Roman" w:eastAsia="Times New Roman" w:hAnsi="Times New Roman" w:cs="Times New Roman"/>
          <w:noProof/>
          <w:sz w:val="24"/>
          <w:szCs w:val="20"/>
          <w:lang w:val="en-GB" w:eastAsia="en-GB"/>
        </w:rPr>
        <w:t xml:space="preserve"> – and three legislative proposals, to control emissions from Medium Combustion Plants, adopted as Directive (EU) 2015/2193 ('the MCPD')</w:t>
      </w:r>
      <w:r>
        <w:rPr>
          <w:rFonts w:ascii="Times New Roman" w:eastAsia="Times New Roman" w:hAnsi="Times New Roman" w:cs="Times New Roman"/>
          <w:noProof/>
          <w:sz w:val="24"/>
          <w:szCs w:val="20"/>
          <w:vertAlign w:val="superscript"/>
          <w:lang w:val="en-GB" w:eastAsia="en-GB"/>
        </w:rPr>
        <w:footnoteReference w:id="5"/>
      </w:r>
      <w:r>
        <w:rPr>
          <w:rFonts w:ascii="Times New Roman" w:eastAsia="Times New Roman" w:hAnsi="Times New Roman" w:cs="Times New Roman"/>
          <w:noProof/>
          <w:sz w:val="24"/>
          <w:szCs w:val="20"/>
          <w:lang w:val="en-GB" w:eastAsia="en-GB"/>
        </w:rPr>
        <w:t>; to ratify the amendment of the 2012 Gothenburg Protocol setting emission reductions for 2020, adopted as Council Dec</w:t>
      </w:r>
      <w:r>
        <w:rPr>
          <w:rFonts w:ascii="Times New Roman" w:eastAsia="Times New Roman" w:hAnsi="Times New Roman" w:cs="Times New Roman"/>
          <w:noProof/>
          <w:sz w:val="24"/>
          <w:szCs w:val="20"/>
          <w:lang w:val="en-GB" w:eastAsia="en-GB"/>
        </w:rPr>
        <w:t>ision 2017/1757/EU</w:t>
      </w:r>
      <w:r>
        <w:rPr>
          <w:rFonts w:ascii="Times New Roman" w:eastAsia="Times New Roman" w:hAnsi="Times New Roman" w:cs="Times New Roman"/>
          <w:noProof/>
          <w:sz w:val="24"/>
          <w:szCs w:val="20"/>
          <w:vertAlign w:val="superscript"/>
          <w:lang w:val="en-GB" w:eastAsia="en-GB"/>
        </w:rPr>
        <w:footnoteReference w:id="6"/>
      </w:r>
      <w:r>
        <w:rPr>
          <w:rFonts w:ascii="Times New Roman" w:eastAsia="Times New Roman" w:hAnsi="Times New Roman" w:cs="Times New Roman"/>
          <w:noProof/>
          <w:sz w:val="24"/>
          <w:szCs w:val="20"/>
          <w:lang w:val="en-GB" w:eastAsia="en-GB"/>
        </w:rPr>
        <w:t>; and to set new national reduction commitments for 2030 in a new Directive on the reduction of emissions of certain atmospheric pollutants, adopted as Directive (EU) 2016/2284 (the 'NECD')</w:t>
      </w:r>
      <w:r>
        <w:rPr>
          <w:rFonts w:ascii="Times New Roman" w:eastAsia="Times New Roman" w:hAnsi="Times New Roman" w:cs="Times New Roman"/>
          <w:noProof/>
          <w:sz w:val="24"/>
          <w:szCs w:val="20"/>
          <w:vertAlign w:val="superscript"/>
          <w:lang w:val="en-GB" w:eastAsia="en-GB"/>
        </w:rPr>
        <w:footnoteReference w:id="7"/>
      </w:r>
      <w:r>
        <w:rPr>
          <w:rFonts w:ascii="Times New Roman" w:eastAsia="Times New Roman" w:hAnsi="Times New Roman" w:cs="Times New Roman"/>
          <w:noProof/>
          <w:sz w:val="24"/>
          <w:szCs w:val="20"/>
          <w:lang w:val="en-GB" w:eastAsia="en-GB"/>
        </w:rPr>
        <w:t xml:space="preserve">. </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2013 Clean Air Programme proposed that </w:t>
      </w:r>
      <w:r>
        <w:rPr>
          <w:rFonts w:ascii="Times New Roman" w:eastAsia="Times New Roman" w:hAnsi="Times New Roman" w:cs="Times New Roman"/>
          <w:noProof/>
          <w:sz w:val="24"/>
          <w:szCs w:val="20"/>
          <w:lang w:val="en-GB" w:eastAsia="en-GB"/>
        </w:rPr>
        <w:t xml:space="preserve">there should be a regular report on the air quality situation in Europe, covering the prospects for emission reduction and progress towards the EU's objectives.With the adoption of the NECD in December 2016, the analytical basis has been updated, and this </w:t>
      </w:r>
      <w:r>
        <w:rPr>
          <w:rFonts w:ascii="Times New Roman" w:eastAsia="Times New Roman" w:hAnsi="Times New Roman" w:cs="Times New Roman"/>
          <w:noProof/>
          <w:sz w:val="24"/>
          <w:szCs w:val="20"/>
          <w:lang w:val="en-GB" w:eastAsia="en-GB"/>
        </w:rPr>
        <w:t>first edition of the 'Clean Air Outlook' aims to fulfil that brief, and to provide context for Member States' work in developing the National Air Pollution Control Programmes due under the NECD by 1 April 2019.</w:t>
      </w:r>
    </w:p>
    <w:p w:rsidR="003D205C" w:rsidRDefault="0086548F">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 xml:space="preserve">The state of air quality in the EU and </w:t>
      </w:r>
      <w:r>
        <w:rPr>
          <w:rFonts w:ascii="Times New Roman" w:eastAsia="Times New Roman" w:hAnsi="Times New Roman" w:cs="Times New Roman"/>
          <w:b/>
          <w:smallCaps/>
          <w:noProof/>
          <w:sz w:val="24"/>
          <w:szCs w:val="20"/>
          <w:lang w:val="en-GB" w:eastAsia="en-GB"/>
        </w:rPr>
        <w:t>progress towards compliance by 2020</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The current air emissions and air quality situation</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positive trend in reduction of the main air pollutants in the EU has continued, as shown in Figure 1 below, as has the decoupling from economic growth. Overall, dur</w:t>
      </w:r>
      <w:r>
        <w:rPr>
          <w:rFonts w:ascii="Times New Roman" w:eastAsia="Times New Roman" w:hAnsi="Times New Roman" w:cs="Times New Roman"/>
          <w:noProof/>
          <w:sz w:val="24"/>
          <w:szCs w:val="20"/>
          <w:lang w:val="en-GB" w:eastAsia="en-GB"/>
        </w:rPr>
        <w:t>ing the 2000-2015 period, the EU's combined GDP grew by 32% while emissions of the main air pollutants decreased by between 10% (for ammonia -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and 70% (for sulphur oxides - SO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w:t>
      </w:r>
    </w:p>
    <w:p w:rsidR="003D205C" w:rsidRDefault="0086548F">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br w:type="page"/>
        <w:t>Figure 1: Development in EU-28 emissions, 2000-2015 (as % of 2000 level</w:t>
      </w:r>
      <w:r>
        <w:rPr>
          <w:rFonts w:ascii="Times New Roman" w:eastAsia="Times New Roman" w:hAnsi="Times New Roman" w:cs="Times New Roman"/>
          <w:b/>
          <w:noProof/>
          <w:lang w:val="en-GB" w:eastAsia="en-GB"/>
        </w:rPr>
        <w:t>s) [Source EEA]</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drawing>
          <wp:inline distT="0" distB="0" distL="0" distR="0">
            <wp:extent cx="5591175" cy="26193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2619375"/>
                    </a:xfrm>
                    <a:prstGeom prst="rect">
                      <a:avLst/>
                    </a:prstGeom>
                    <a:noFill/>
                    <a:ln w="6350" cmpd="sng">
                      <a:solidFill>
                        <a:srgbClr val="000000"/>
                      </a:solidFill>
                      <a:miter lim="800000"/>
                      <a:headEnd/>
                      <a:tailEnd/>
                    </a:ln>
                    <a:effectLst/>
                  </pic:spPr>
                </pic:pic>
              </a:graphicData>
            </a:graphic>
          </wp:inline>
        </w:drawing>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However, there are still major problems with exceedence of the EU's air quality limit values. For 2015, up to 20% of the EU-28 urban population was exposed to levels above the EU daily limit value for particulate matter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xml:space="preserve">).  For fine </w:t>
      </w:r>
      <w:r>
        <w:rPr>
          <w:rFonts w:ascii="Times New Roman" w:eastAsia="Times New Roman" w:hAnsi="Times New Roman" w:cs="Times New Roman"/>
          <w:noProof/>
          <w:sz w:val="24"/>
          <w:szCs w:val="20"/>
          <w:lang w:val="en-GB" w:eastAsia="en-GB"/>
        </w:rPr>
        <w:t>particulate matter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up to 8 % of the urban population was exposed to concentrations above the EU limit value of 25 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and more than 82% to levels above the much stricter WHO guideline value of 10 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For nitrogen dioxide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the annual lim</w:t>
      </w:r>
      <w:r>
        <w:rPr>
          <w:rFonts w:ascii="Times New Roman" w:eastAsia="Times New Roman" w:hAnsi="Times New Roman" w:cs="Times New Roman"/>
          <w:noProof/>
          <w:sz w:val="24"/>
          <w:szCs w:val="20"/>
          <w:lang w:val="en-GB" w:eastAsia="en-GB"/>
        </w:rPr>
        <w:t>it value continues to be widely exceeded across Europe, with concentrations above the identical EU and WHO limit in 22 Member States, to which up to 9% of the urban population are exposed.</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For ozone, 18 Member States registered concentrations above the EU </w:t>
      </w:r>
      <w:r>
        <w:rPr>
          <w:rFonts w:ascii="Times New Roman" w:eastAsia="Times New Roman" w:hAnsi="Times New Roman" w:cs="Times New Roman"/>
          <w:noProof/>
          <w:sz w:val="24"/>
          <w:szCs w:val="20"/>
          <w:lang w:val="en-GB" w:eastAsia="en-GB"/>
        </w:rPr>
        <w:t>target value, and up to 30% of the EU urban population lived in areas in which the target value was exceeded, with more than 95% living in areas where the stricter WHO guideline was exceeded</w:t>
      </w:r>
      <w:r>
        <w:rPr>
          <w:rFonts w:ascii="Times New Roman" w:eastAsia="Times New Roman" w:hAnsi="Times New Roman" w:cs="Times New Roman"/>
          <w:noProof/>
          <w:sz w:val="24"/>
          <w:szCs w:val="20"/>
          <w:lang w:val="en-GB" w:eastAsia="en-GB"/>
        </w:rPr>
        <w:footnoteReference w:id="8"/>
      </w:r>
      <w:r>
        <w:rPr>
          <w:rFonts w:ascii="Times New Roman" w:eastAsia="Times New Roman" w:hAnsi="Times New Roman" w:cs="Times New Roman"/>
          <w:noProof/>
          <w:sz w:val="24"/>
          <w:szCs w:val="20"/>
          <w:lang w:val="en-GB" w:eastAsia="en-GB"/>
        </w:rPr>
        <w:t>.</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Progress towards compliance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Nitrogen oxide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emissions from</w:t>
      </w:r>
      <w:r>
        <w:rPr>
          <w:rFonts w:ascii="Times New Roman" w:eastAsia="Times New Roman" w:hAnsi="Times New Roman" w:cs="Times New Roman"/>
          <w:noProof/>
          <w:sz w:val="24"/>
          <w:szCs w:val="20"/>
          <w:lang w:val="en-GB" w:eastAsia="en-GB"/>
        </w:rPr>
        <w:t xml:space="preserve"> diesel-powered passenger cars and light duty vehicles, systematically much higher than the type-approved limit values, are a major contributing factor to the non-compliance with the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 The recent adoption, in 2017, of a new EU-wide test proc</w:t>
      </w:r>
      <w:r>
        <w:rPr>
          <w:rFonts w:ascii="Times New Roman" w:eastAsia="Times New Roman" w:hAnsi="Times New Roman" w:cs="Times New Roman"/>
          <w:noProof/>
          <w:sz w:val="24"/>
          <w:szCs w:val="20"/>
          <w:lang w:val="en-GB" w:eastAsia="en-GB"/>
        </w:rPr>
        <w:t>edure reflecting the real-driving emissions of these vehicles</w:t>
      </w:r>
      <w:r>
        <w:rPr>
          <w:rFonts w:ascii="Times New Roman" w:eastAsia="Times New Roman" w:hAnsi="Times New Roman" w:cs="Times New Roman"/>
          <w:noProof/>
          <w:sz w:val="24"/>
          <w:szCs w:val="20"/>
          <w:vertAlign w:val="superscript"/>
          <w:lang w:val="en-GB" w:eastAsia="en-GB"/>
        </w:rPr>
        <w:footnoteReference w:id="9"/>
      </w:r>
      <w:r>
        <w:rPr>
          <w:rFonts w:ascii="Times New Roman" w:eastAsia="Times New Roman" w:hAnsi="Times New Roman" w:cs="Times New Roman"/>
          <w:noProof/>
          <w:sz w:val="24"/>
          <w:szCs w:val="20"/>
          <w:lang w:val="en-GB" w:eastAsia="en-GB"/>
        </w:rPr>
        <w:t xml:space="preserve"> and the 2016 Commission proposal on a revised type approval system</w:t>
      </w:r>
      <w:r>
        <w:rPr>
          <w:rFonts w:ascii="Times New Roman" w:eastAsia="Times New Roman" w:hAnsi="Times New Roman" w:cs="Times New Roman"/>
          <w:noProof/>
          <w:sz w:val="24"/>
          <w:szCs w:val="20"/>
          <w:vertAlign w:val="superscript"/>
          <w:lang w:val="en-GB" w:eastAsia="en-GB"/>
        </w:rPr>
        <w:footnoteReference w:id="10"/>
      </w:r>
      <w:r>
        <w:rPr>
          <w:rFonts w:ascii="Times New Roman" w:eastAsia="Times New Roman" w:hAnsi="Times New Roman" w:cs="Times New Roman"/>
          <w:noProof/>
          <w:sz w:val="24"/>
          <w:szCs w:val="20"/>
          <w:lang w:val="en-GB" w:eastAsia="en-GB"/>
        </w:rPr>
        <w:t xml:space="preserve"> will help make progress on this issue.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Measures promoting compliance with the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xml:space="preserve"> limit value include the gradual penetratio</w:t>
      </w:r>
      <w:r>
        <w:rPr>
          <w:rFonts w:ascii="Times New Roman" w:eastAsia="Times New Roman" w:hAnsi="Times New Roman" w:cs="Times New Roman"/>
          <w:noProof/>
          <w:sz w:val="24"/>
          <w:szCs w:val="20"/>
          <w:lang w:val="en-GB" w:eastAsia="en-GB"/>
        </w:rPr>
        <w:t>n of particle filters to meet PM emission limits for passenger cars (included in Euro 5 and 6</w:t>
      </w:r>
      <w:r>
        <w:rPr>
          <w:rFonts w:ascii="Times New Roman" w:eastAsia="Times New Roman" w:hAnsi="Times New Roman" w:cs="Times New Roman"/>
          <w:noProof/>
          <w:sz w:val="24"/>
          <w:szCs w:val="20"/>
          <w:vertAlign w:val="superscript"/>
          <w:lang w:val="en-GB" w:eastAsia="en-GB"/>
        </w:rPr>
        <w:footnoteReference w:id="11"/>
      </w:r>
      <w:r>
        <w:rPr>
          <w:rFonts w:ascii="Times New Roman" w:eastAsia="Times New Roman" w:hAnsi="Times New Roman" w:cs="Times New Roman"/>
          <w:noProof/>
          <w:sz w:val="24"/>
          <w:szCs w:val="20"/>
          <w:lang w:val="en-GB" w:eastAsia="en-GB"/>
        </w:rPr>
        <w:t>), and the controls on combustion plants under the Industrial Emissions Directive (IED)</w:t>
      </w:r>
      <w:r>
        <w:rPr>
          <w:rFonts w:ascii="Times New Roman" w:eastAsia="Times New Roman" w:hAnsi="Times New Roman" w:cs="Times New Roman"/>
          <w:noProof/>
          <w:sz w:val="24"/>
          <w:szCs w:val="20"/>
          <w:vertAlign w:val="superscript"/>
          <w:lang w:val="en-GB" w:eastAsia="en-GB"/>
        </w:rPr>
        <w:footnoteReference w:id="12"/>
      </w:r>
      <w:r>
        <w:rPr>
          <w:rFonts w:ascii="Times New Roman" w:eastAsia="Times New Roman" w:hAnsi="Times New Roman" w:cs="Times New Roman"/>
          <w:noProof/>
          <w:sz w:val="24"/>
          <w:szCs w:val="20"/>
          <w:lang w:val="en-GB" w:eastAsia="en-GB"/>
        </w:rPr>
        <w:t xml:space="preserve"> and the MCPD.  Although the Ecodesign requirements on solid fuel stoves</w:t>
      </w:r>
      <w:r>
        <w:rPr>
          <w:rFonts w:ascii="Times New Roman" w:eastAsia="Times New Roman" w:hAnsi="Times New Roman" w:cs="Times New Roman"/>
          <w:noProof/>
          <w:sz w:val="24"/>
          <w:szCs w:val="20"/>
          <w:vertAlign w:val="superscript"/>
          <w:lang w:val="en-GB" w:eastAsia="en-GB"/>
        </w:rPr>
        <w:footnoteReference w:id="13"/>
      </w:r>
      <w:r>
        <w:rPr>
          <w:rFonts w:ascii="Times New Roman" w:eastAsia="Times New Roman" w:hAnsi="Times New Roman" w:cs="Times New Roman"/>
          <w:noProof/>
          <w:sz w:val="24"/>
          <w:szCs w:val="20"/>
          <w:lang w:val="en-GB" w:eastAsia="en-GB"/>
        </w:rPr>
        <w:t xml:space="preserve"> </w:t>
      </w:r>
      <w:r>
        <w:rPr>
          <w:rFonts w:ascii="Times New Roman" w:eastAsia="Times New Roman" w:hAnsi="Times New Roman" w:cs="Times New Roman"/>
          <w:noProof/>
          <w:sz w:val="24"/>
          <w:szCs w:val="20"/>
          <w:lang w:val="en-GB" w:eastAsia="en-GB"/>
        </w:rPr>
        <w:t>and boilers</w:t>
      </w:r>
      <w:r>
        <w:rPr>
          <w:rFonts w:ascii="Times New Roman" w:eastAsia="Times New Roman" w:hAnsi="Times New Roman" w:cs="Times New Roman"/>
          <w:noProof/>
          <w:sz w:val="24"/>
          <w:szCs w:val="20"/>
          <w:vertAlign w:val="superscript"/>
          <w:lang w:val="en-GB" w:eastAsia="en-GB"/>
        </w:rPr>
        <w:footnoteReference w:id="14"/>
      </w:r>
      <w:r>
        <w:rPr>
          <w:rFonts w:ascii="Times New Roman" w:eastAsia="Times New Roman" w:hAnsi="Times New Roman" w:cs="Times New Roman"/>
          <w:noProof/>
          <w:sz w:val="24"/>
          <w:szCs w:val="20"/>
          <w:lang w:val="en-GB" w:eastAsia="en-GB"/>
        </w:rPr>
        <w:t xml:space="preserve"> agreed upon at EU level in 2015 will only apply after 2020, a number of Member States have proactively introduced them in advance of the deadline (e.g. Poland) to assist in tackling emissions of PM, volatile organic compounds (VOC) and NOx. Mo</w:t>
      </w:r>
      <w:r>
        <w:rPr>
          <w:rFonts w:ascii="Times New Roman" w:eastAsia="Times New Roman" w:hAnsi="Times New Roman" w:cs="Times New Roman"/>
          <w:noProof/>
          <w:sz w:val="24"/>
          <w:szCs w:val="20"/>
          <w:lang w:val="en-GB" w:eastAsia="en-GB"/>
        </w:rPr>
        <w:t>reover, Ecodesign and other requirements to improve energy efficiency (laid down notably by the 2010 Energy Performance of Buildings Directive</w:t>
      </w:r>
      <w:r>
        <w:rPr>
          <w:rFonts w:ascii="Times New Roman" w:eastAsia="Times New Roman" w:hAnsi="Times New Roman" w:cs="Times New Roman"/>
          <w:noProof/>
          <w:sz w:val="24"/>
          <w:szCs w:val="20"/>
          <w:vertAlign w:val="superscript"/>
          <w:lang w:val="en-GB" w:eastAsia="en-GB"/>
        </w:rPr>
        <w:footnoteReference w:id="15"/>
      </w:r>
      <w:r>
        <w:rPr>
          <w:rFonts w:ascii="Times New Roman" w:eastAsia="Times New Roman" w:hAnsi="Times New Roman" w:cs="Times New Roman"/>
          <w:noProof/>
          <w:sz w:val="24"/>
          <w:szCs w:val="20"/>
          <w:lang w:val="en-GB" w:eastAsia="en-GB"/>
        </w:rPr>
        <w:t>, the 2012 Energy Efficiency Directive</w:t>
      </w:r>
      <w:r>
        <w:rPr>
          <w:rFonts w:ascii="Times New Roman" w:eastAsia="Times New Roman" w:hAnsi="Times New Roman" w:cs="Times New Roman"/>
          <w:noProof/>
          <w:sz w:val="24"/>
          <w:szCs w:val="20"/>
          <w:lang w:val="en-GB" w:eastAsia="en-GB"/>
        </w:rPr>
        <w:footnoteReference w:id="16"/>
      </w:r>
      <w:r>
        <w:rPr>
          <w:rFonts w:ascii="Times New Roman" w:eastAsia="Times New Roman" w:hAnsi="Times New Roman" w:cs="Times New Roman"/>
          <w:noProof/>
          <w:sz w:val="24"/>
          <w:szCs w:val="20"/>
          <w:lang w:val="en-GB" w:eastAsia="en-GB"/>
        </w:rPr>
        <w:t xml:space="preserve"> and the 2017 Energy Labelling Regulation</w:t>
      </w:r>
      <w:r>
        <w:rPr>
          <w:rFonts w:ascii="Times New Roman" w:eastAsia="Times New Roman" w:hAnsi="Times New Roman" w:cs="Times New Roman"/>
          <w:noProof/>
          <w:sz w:val="24"/>
          <w:szCs w:val="20"/>
          <w:lang w:val="en-GB" w:eastAsia="en-GB"/>
        </w:rPr>
        <w:footnoteReference w:id="17"/>
      </w:r>
      <w:r>
        <w:rPr>
          <w:rFonts w:ascii="Times New Roman" w:eastAsia="Times New Roman" w:hAnsi="Times New Roman" w:cs="Times New Roman"/>
          <w:noProof/>
          <w:sz w:val="24"/>
          <w:szCs w:val="20"/>
          <w:lang w:val="en-GB" w:eastAsia="en-GB"/>
        </w:rPr>
        <w:t>) contribute to emission reducti</w:t>
      </w:r>
      <w:r>
        <w:rPr>
          <w:rFonts w:ascii="Times New Roman" w:eastAsia="Times New Roman" w:hAnsi="Times New Roman" w:cs="Times New Roman"/>
          <w:noProof/>
          <w:sz w:val="24"/>
          <w:szCs w:val="20"/>
          <w:lang w:val="en-GB" w:eastAsia="en-GB"/>
        </w:rPr>
        <w:t>ons of atmospheric pollutants by decreasing energy consumption.  The recently-adopted Best Available Techniques (BAT) conclusions on Large Combustion Plants</w:t>
      </w:r>
      <w:r>
        <w:rPr>
          <w:rFonts w:ascii="Times New Roman" w:eastAsia="Times New Roman" w:hAnsi="Times New Roman" w:cs="Times New Roman"/>
          <w:noProof/>
          <w:sz w:val="24"/>
          <w:szCs w:val="20"/>
          <w:vertAlign w:val="superscript"/>
          <w:lang w:val="en-GB" w:eastAsia="en-GB"/>
        </w:rPr>
        <w:footnoteReference w:id="18"/>
      </w:r>
      <w:r>
        <w:rPr>
          <w:rFonts w:ascii="Times New Roman" w:eastAsia="Times New Roman" w:hAnsi="Times New Roman" w:cs="Times New Roman"/>
          <w:noProof/>
          <w:sz w:val="24"/>
          <w:szCs w:val="20"/>
          <w:lang w:val="en-GB" w:eastAsia="en-GB"/>
        </w:rPr>
        <w:t xml:space="preserve"> under the IED will also have positive impacts on </w:t>
      </w:r>
      <w:r>
        <w:rPr>
          <w:rFonts w:ascii="Times New Roman" w:eastAsia="Times New Roman" w:hAnsi="Times New Roman" w:cs="Times New Roman"/>
          <w:noProof/>
          <w:color w:val="000000"/>
          <w:sz w:val="24"/>
          <w:szCs w:val="20"/>
          <w:lang w:val="en-GB" w:eastAsia="en-GB"/>
        </w:rPr>
        <w:t>NOx, SO</w:t>
      </w:r>
      <w:r>
        <w:rPr>
          <w:rFonts w:ascii="Times New Roman" w:eastAsia="Times New Roman" w:hAnsi="Times New Roman" w:cs="Times New Roman"/>
          <w:noProof/>
          <w:color w:val="000000"/>
          <w:sz w:val="24"/>
          <w:szCs w:val="20"/>
          <w:vertAlign w:val="subscript"/>
          <w:lang w:val="en-GB" w:eastAsia="en-GB"/>
        </w:rPr>
        <w:t>2</w:t>
      </w:r>
      <w:r>
        <w:rPr>
          <w:rFonts w:ascii="Times New Roman" w:eastAsia="Times New Roman" w:hAnsi="Times New Roman" w:cs="Times New Roman"/>
          <w:noProof/>
          <w:color w:val="000000"/>
          <w:sz w:val="24"/>
          <w:szCs w:val="20"/>
          <w:lang w:val="en-GB" w:eastAsia="en-GB"/>
        </w:rPr>
        <w:t>, and PM. However, as solid biomass remai</w:t>
      </w:r>
      <w:r>
        <w:rPr>
          <w:rFonts w:ascii="Times New Roman" w:eastAsia="Times New Roman" w:hAnsi="Times New Roman" w:cs="Times New Roman"/>
          <w:noProof/>
          <w:color w:val="000000"/>
          <w:sz w:val="24"/>
          <w:szCs w:val="20"/>
          <w:lang w:val="en-GB" w:eastAsia="en-GB"/>
        </w:rPr>
        <w:t>ns by far the largest contributor (82%) to renewable heat production</w:t>
      </w:r>
      <w:r>
        <w:rPr>
          <w:rFonts w:ascii="Times New Roman" w:eastAsia="Times New Roman" w:hAnsi="Times New Roman" w:cs="Times New Roman"/>
          <w:noProof/>
          <w:color w:val="000000"/>
          <w:sz w:val="24"/>
          <w:szCs w:val="20"/>
          <w:vertAlign w:val="superscript"/>
          <w:lang w:val="en-GB" w:eastAsia="en-GB"/>
        </w:rPr>
        <w:footnoteReference w:id="19"/>
      </w:r>
      <w:r>
        <w:rPr>
          <w:rFonts w:ascii="Times New Roman" w:eastAsia="Times New Roman" w:hAnsi="Times New Roman" w:cs="Times New Roman"/>
          <w:noProof/>
          <w:color w:val="000000"/>
          <w:sz w:val="24"/>
          <w:szCs w:val="20"/>
          <w:lang w:val="en-GB" w:eastAsia="en-GB"/>
        </w:rPr>
        <w:t xml:space="preserve"> and bioenergy as a whole will continue to represent a large proportion of the EU renewable energy mix</w:t>
      </w:r>
      <w:r>
        <w:rPr>
          <w:rFonts w:ascii="Times New Roman" w:eastAsia="Times New Roman" w:hAnsi="Times New Roman" w:cs="Times New Roman"/>
          <w:noProof/>
          <w:color w:val="000000"/>
          <w:sz w:val="24"/>
          <w:szCs w:val="20"/>
          <w:vertAlign w:val="superscript"/>
          <w:lang w:val="en-GB" w:eastAsia="en-GB"/>
        </w:rPr>
        <w:footnoteReference w:id="20"/>
      </w:r>
      <w:r>
        <w:rPr>
          <w:rFonts w:ascii="Times New Roman" w:eastAsia="Times New Roman" w:hAnsi="Times New Roman" w:cs="Times New Roman"/>
          <w:noProof/>
          <w:color w:val="000000"/>
          <w:sz w:val="24"/>
          <w:szCs w:val="20"/>
          <w:lang w:val="en-GB" w:eastAsia="en-GB"/>
        </w:rPr>
        <w:t xml:space="preserve">, improvements in emission control could be offset to some extent by increased </w:t>
      </w:r>
      <w:r>
        <w:rPr>
          <w:rFonts w:ascii="Times New Roman" w:eastAsia="Times New Roman" w:hAnsi="Times New Roman" w:cs="Times New Roman"/>
          <w:noProof/>
          <w:color w:val="000000"/>
          <w:sz w:val="24"/>
          <w:szCs w:val="20"/>
          <w:lang w:val="en-GB" w:eastAsia="en-GB"/>
        </w:rPr>
        <w:t>numbers of emitters.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Much further effort is still needed to ensure exceedances of limit values are kept as short as possible. There are currently 30 infringement procedures open against Member States concerning Directive 2008/50/EC, 16 for exceedance of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xml:space="preserve"> limit values, 13 for exceedance of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values, and one for exceedance of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values. </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There is also significant EU funding support available to Member States to finance air pollution control measures (see section 3.2.5).  In the broader cont</w:t>
      </w:r>
      <w:r>
        <w:rPr>
          <w:rFonts w:ascii="Times New Roman" w:eastAsia="Times New Roman" w:hAnsi="Times New Roman" w:cs="Times New Roman"/>
          <w:noProof/>
          <w:sz w:val="24"/>
          <w:szCs w:val="20"/>
          <w:lang w:val="en-GB" w:eastAsia="en-GB"/>
        </w:rPr>
        <w:t>ext of the Commission's Environmental Implementation Review</w:t>
      </w:r>
      <w:r>
        <w:rPr>
          <w:rFonts w:ascii="Times New Roman" w:eastAsia="Times New Roman" w:hAnsi="Times New Roman" w:cs="Times New Roman"/>
          <w:noProof/>
          <w:sz w:val="24"/>
          <w:szCs w:val="20"/>
          <w:vertAlign w:val="superscript"/>
          <w:lang w:val="en-GB" w:eastAsia="en-GB"/>
        </w:rPr>
        <w:footnoteReference w:id="21"/>
      </w:r>
      <w:r>
        <w:rPr>
          <w:rFonts w:ascii="Times New Roman" w:eastAsia="Times New Roman" w:hAnsi="Times New Roman" w:cs="Times New Roman"/>
          <w:noProof/>
          <w:sz w:val="24"/>
          <w:szCs w:val="20"/>
          <w:lang w:val="en-GB" w:eastAsia="en-GB"/>
        </w:rPr>
        <w:t>, the Commission is pursuing Clean Air Dialogues</w:t>
      </w:r>
      <w:r>
        <w:rPr>
          <w:rFonts w:ascii="Times New Roman" w:eastAsia="Times New Roman" w:hAnsi="Times New Roman" w:cs="Times New Roman"/>
          <w:noProof/>
          <w:sz w:val="24"/>
          <w:szCs w:val="20"/>
          <w:vertAlign w:val="superscript"/>
          <w:lang w:val="en-GB" w:eastAsia="en-GB"/>
        </w:rPr>
        <w:footnoteReference w:id="22"/>
      </w:r>
      <w:r>
        <w:rPr>
          <w:rFonts w:ascii="Times New Roman" w:eastAsia="Times New Roman" w:hAnsi="Times New Roman" w:cs="Times New Roman"/>
          <w:noProof/>
          <w:sz w:val="24"/>
          <w:szCs w:val="20"/>
          <w:lang w:val="en-GB" w:eastAsia="en-GB"/>
        </w:rPr>
        <w:t xml:space="preserve"> with Member States, to better understand national approaches to implementation, share experience on solutions, promote synergies between policies </w:t>
      </w:r>
      <w:r>
        <w:rPr>
          <w:rFonts w:ascii="Times New Roman" w:eastAsia="Times New Roman" w:hAnsi="Times New Roman" w:cs="Times New Roman"/>
          <w:noProof/>
          <w:sz w:val="24"/>
          <w:szCs w:val="20"/>
          <w:lang w:val="en-GB" w:eastAsia="en-GB"/>
        </w:rPr>
        <w:t>and identify areas where EU funds can help. The dialogues have been particularly successful in promoting action involving all relevant ministries and stakeholders.</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The Fitness Check of the Ambient Air Quality Directives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2013 Clean Air Programme conclud</w:t>
      </w:r>
      <w:r>
        <w:rPr>
          <w:rFonts w:ascii="Times New Roman" w:eastAsia="Times New Roman" w:hAnsi="Times New Roman" w:cs="Times New Roman"/>
          <w:noProof/>
          <w:sz w:val="24"/>
          <w:szCs w:val="20"/>
          <w:lang w:val="en-GB" w:eastAsia="en-GB"/>
        </w:rPr>
        <w:t>ed that it was not at that time appropriate to revise the Ambient Air Quality Directives 2008/50/EU and 2004/107/EC, stressing the need to ensure compliance with existing standards, and bring down emissions through the NECD.</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2017 the Commission initiate</w:t>
      </w:r>
      <w:r>
        <w:rPr>
          <w:rFonts w:ascii="Times New Roman" w:eastAsia="Times New Roman" w:hAnsi="Times New Roman" w:cs="Times New Roman"/>
          <w:noProof/>
          <w:sz w:val="24"/>
          <w:szCs w:val="20"/>
          <w:lang w:val="en-GB" w:eastAsia="en-GB"/>
        </w:rPr>
        <w:t>d a Fitness Check to examine the performance of the Ambient Air Quality Directives. It builds on the analysis underlying the Clean Air Programme and will draw on experience in all Member States, focusing on the period 2008 to 2018. It will look at the fitn</w:t>
      </w:r>
      <w:r>
        <w:rPr>
          <w:rFonts w:ascii="Times New Roman" w:eastAsia="Times New Roman" w:hAnsi="Times New Roman" w:cs="Times New Roman"/>
          <w:noProof/>
          <w:sz w:val="24"/>
          <w:szCs w:val="20"/>
          <w:lang w:val="en-GB" w:eastAsia="en-GB"/>
        </w:rPr>
        <w:t>ess-for-purpose of all the Directives' provisions, and in particular the monitoring and assessment methods, the air quality standards, the provisions on public information, and the extent to which the Directives have facilitated action to prevent or reduce</w:t>
      </w:r>
      <w:r>
        <w:rPr>
          <w:rFonts w:ascii="Times New Roman" w:eastAsia="Times New Roman" w:hAnsi="Times New Roman" w:cs="Times New Roman"/>
          <w:noProof/>
          <w:sz w:val="24"/>
          <w:szCs w:val="20"/>
          <w:lang w:val="en-GB" w:eastAsia="en-GB"/>
        </w:rPr>
        <w:t xml:space="preserve"> adverse impacts.</w:t>
      </w:r>
    </w:p>
    <w:p w:rsidR="003D205C" w:rsidRDefault="0086548F">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Administrative costs, overlaps and/or synergies, gaps, inconsistencies and/or potentially obsolete measures will also be addressed, as well as the coherence of air quality governance between EU, Member State, regional and local levels. </w:t>
      </w:r>
      <w:r>
        <w:rPr>
          <w:rFonts w:ascii="Times New Roman" w:eastAsia="Times New Roman" w:hAnsi="Times New Roman" w:cs="Times New Roman"/>
          <w:noProof/>
          <w:sz w:val="24"/>
          <w:szCs w:val="24"/>
          <w:lang w:val="en-GB"/>
        </w:rPr>
        <w:t>Under current planning the fitness check will be concluded in 2019.</w:t>
      </w:r>
    </w:p>
    <w:p w:rsidR="003D205C" w:rsidRDefault="0086548F">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Implementation of the new National Emissions Ceilings Directive and additional source legislation</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bookmarkStart w:id="5" w:name="_Ref496622083"/>
      <w:r>
        <w:rPr>
          <w:rFonts w:ascii="Times New Roman" w:eastAsia="Times New Roman" w:hAnsi="Times New Roman" w:cs="Times New Roman"/>
          <w:b/>
          <w:noProof/>
          <w:sz w:val="24"/>
          <w:szCs w:val="20"/>
          <w:lang w:val="en-GB" w:eastAsia="en-GB"/>
        </w:rPr>
        <w:t>Health and ecosystem targets</w:t>
      </w:r>
      <w:bookmarkEnd w:id="5"/>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targets set in the Clean Air Programme were based on the </w:t>
      </w:r>
      <w:r>
        <w:rPr>
          <w:rFonts w:ascii="Times New Roman" w:eastAsia="Times New Roman" w:hAnsi="Times New Roman" w:cs="Times New Roman"/>
          <w:noProof/>
          <w:sz w:val="24"/>
          <w:szCs w:val="20"/>
          <w:lang w:val="en-GB" w:eastAsia="en-GB"/>
        </w:rPr>
        <w:t>reductions outlined in the Commission proposal</w:t>
      </w:r>
      <w:r>
        <w:rPr>
          <w:rFonts w:ascii="Times New Roman" w:eastAsia="Times New Roman" w:hAnsi="Times New Roman" w:cs="Times New Roman"/>
          <w:noProof/>
          <w:sz w:val="24"/>
          <w:szCs w:val="20"/>
          <w:lang w:val="en-GB" w:eastAsia="en-GB"/>
        </w:rPr>
        <w:footnoteReference w:id="23"/>
      </w:r>
      <w:r>
        <w:rPr>
          <w:rFonts w:ascii="Times New Roman" w:eastAsia="Times New Roman" w:hAnsi="Times New Roman" w:cs="Times New Roman"/>
          <w:noProof/>
          <w:sz w:val="24"/>
          <w:szCs w:val="20"/>
          <w:lang w:val="en-GB" w:eastAsia="en-GB"/>
        </w:rPr>
        <w:t xml:space="preserve"> for the NECD. Now that the Directive has entered into force since December 31</w:t>
      </w:r>
      <w:r>
        <w:rPr>
          <w:rFonts w:ascii="Times New Roman" w:eastAsia="Times New Roman" w:hAnsi="Times New Roman" w:cs="Times New Roman"/>
          <w:noProof/>
          <w:sz w:val="24"/>
          <w:szCs w:val="20"/>
          <w:vertAlign w:val="superscript"/>
          <w:lang w:val="en-GB" w:eastAsia="en-GB"/>
        </w:rPr>
        <w:t>st</w:t>
      </w:r>
      <w:r>
        <w:rPr>
          <w:rFonts w:ascii="Times New Roman" w:eastAsia="Times New Roman" w:hAnsi="Times New Roman" w:cs="Times New Roman"/>
          <w:noProof/>
          <w:sz w:val="24"/>
          <w:szCs w:val="20"/>
          <w:lang w:val="en-GB" w:eastAsia="en-GB"/>
        </w:rPr>
        <w:t xml:space="preserve"> 2016, and additional source legislation (i.e. measures regulating specific pollution sources such as vehicles, stoves, industria</w:t>
      </w:r>
      <w:r>
        <w:rPr>
          <w:rFonts w:ascii="Times New Roman" w:eastAsia="Times New Roman" w:hAnsi="Times New Roman" w:cs="Times New Roman"/>
          <w:noProof/>
          <w:sz w:val="24"/>
          <w:szCs w:val="20"/>
          <w:lang w:val="en-GB" w:eastAsia="en-GB"/>
        </w:rPr>
        <w:t xml:space="preserve">l plants) has been adopted since the Clean Air Programme of 2013, these figures can be updated as indicated in Table 1 below. </w:t>
      </w:r>
    </w:p>
    <w:p w:rsidR="003D205C" w:rsidRDefault="0086548F">
      <w:pPr>
        <w:keepNext/>
        <w:spacing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 xml:space="preserve">Table 1: Air policy benefits projected for 2030 by the NECD and all source legislation adopted since 2014, as compared with the proposals in the Clean Air Programme (relative to 2005, the base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rsidR="003D205C" w:rsidRPr="0086548F">
        <w:tc>
          <w:tcPr>
            <w:tcW w:w="3096" w:type="dxa"/>
            <w:tcBorders>
              <w:bottom w:val="single" w:sz="12" w:space="0" w:color="auto"/>
            </w:tcBorders>
            <w:shd w:val="clear" w:color="auto" w:fill="auto"/>
          </w:tcPr>
          <w:p w:rsidR="003D205C" w:rsidRDefault="003D205C">
            <w:pPr>
              <w:spacing w:before="120" w:after="120" w:line="240" w:lineRule="auto"/>
              <w:jc w:val="center"/>
              <w:rPr>
                <w:rFonts w:ascii="Times New Roman" w:eastAsia="Times New Roman" w:hAnsi="Times New Roman" w:cs="Times New Roman"/>
                <w:noProof/>
                <w:sz w:val="24"/>
                <w:szCs w:val="20"/>
                <w:highlight w:val="yellow"/>
                <w:lang w:val="en-GB" w:eastAsia="en-GB"/>
              </w:rPr>
            </w:pPr>
          </w:p>
        </w:tc>
        <w:tc>
          <w:tcPr>
            <w:tcW w:w="3096" w:type="dxa"/>
            <w:tcBorders>
              <w:bottom w:val="single" w:sz="12" w:space="0" w:color="auto"/>
            </w:tcBorders>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highlight w:val="yellow"/>
                <w:lang w:val="en-GB" w:eastAsia="en-GB"/>
              </w:rPr>
            </w:pPr>
            <w:r>
              <w:rPr>
                <w:rFonts w:ascii="Times New Roman" w:eastAsia="Times New Roman" w:hAnsi="Times New Roman" w:cs="Times New Roman"/>
                <w:noProof/>
                <w:szCs w:val="20"/>
                <w:lang w:val="en-GB" w:eastAsia="en-GB"/>
              </w:rPr>
              <w:t xml:space="preserve">Expected reduction in negative health impacts compared </w:t>
            </w:r>
            <w:r>
              <w:rPr>
                <w:rFonts w:ascii="Times New Roman" w:eastAsia="Times New Roman" w:hAnsi="Times New Roman" w:cs="Times New Roman"/>
                <w:noProof/>
                <w:szCs w:val="20"/>
                <w:lang w:val="en-GB" w:eastAsia="en-GB"/>
              </w:rPr>
              <w:t>to 2005</w:t>
            </w:r>
            <w:r>
              <w:rPr>
                <w:rFonts w:ascii="Times New Roman" w:eastAsia="Times New Roman" w:hAnsi="Times New Roman" w:cs="Times New Roman"/>
                <w:noProof/>
                <w:szCs w:val="20"/>
                <w:lang w:val="en-GB" w:eastAsia="en-GB"/>
              </w:rPr>
              <w:br/>
              <w:t>(premature mortality due to particulate matter and ozone )</w:t>
            </w:r>
          </w:p>
        </w:tc>
        <w:tc>
          <w:tcPr>
            <w:tcW w:w="3097" w:type="dxa"/>
            <w:tcBorders>
              <w:bottom w:val="single" w:sz="12" w:space="0" w:color="auto"/>
            </w:tcBorders>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highlight w:val="yellow"/>
                <w:lang w:val="en-GB" w:eastAsia="en-GB"/>
              </w:rPr>
            </w:pPr>
            <w:r>
              <w:rPr>
                <w:rFonts w:ascii="Times New Roman" w:eastAsia="Times New Roman" w:hAnsi="Times New Roman" w:cs="Times New Roman"/>
                <w:noProof/>
                <w:szCs w:val="20"/>
                <w:lang w:val="en-GB" w:eastAsia="en-GB"/>
              </w:rPr>
              <w:t>Expected reduction in ecosystem areas exceeding eutrophication limits compared to 2005</w:t>
            </w:r>
          </w:p>
        </w:tc>
      </w:tr>
      <w:tr w:rsidR="003D205C">
        <w:tc>
          <w:tcPr>
            <w:tcW w:w="3096" w:type="dxa"/>
            <w:tcBorders>
              <w:top w:val="single" w:sz="12" w:space="0" w:color="auto"/>
            </w:tcBorders>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Cs w:val="20"/>
                <w:lang w:val="en-GB" w:eastAsia="en-GB"/>
              </w:rPr>
              <w:t>Clean Air Programme for Europe (December 2013) using a baseline which does not include source legisla</w:t>
            </w:r>
            <w:r>
              <w:rPr>
                <w:rFonts w:ascii="Times New Roman" w:eastAsia="Times New Roman" w:hAnsi="Times New Roman" w:cs="Times New Roman"/>
                <w:noProof/>
                <w:szCs w:val="20"/>
                <w:lang w:val="en-GB" w:eastAsia="en-GB"/>
              </w:rPr>
              <w:t>tion adopted since 2014</w:t>
            </w:r>
          </w:p>
        </w:tc>
        <w:tc>
          <w:tcPr>
            <w:tcW w:w="3096" w:type="dxa"/>
            <w:tcBorders>
              <w:top w:val="single" w:sz="12" w:space="0" w:color="auto"/>
            </w:tcBorders>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52%</w:t>
            </w:r>
          </w:p>
        </w:tc>
        <w:tc>
          <w:tcPr>
            <w:tcW w:w="3097" w:type="dxa"/>
            <w:tcBorders>
              <w:top w:val="single" w:sz="12" w:space="0" w:color="auto"/>
            </w:tcBorders>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35%</w:t>
            </w:r>
          </w:p>
        </w:tc>
      </w:tr>
      <w:tr w:rsidR="003D205C">
        <w:tc>
          <w:tcPr>
            <w:tcW w:w="3096" w:type="dxa"/>
            <w:shd w:val="clear" w:color="auto" w:fill="auto"/>
          </w:tcPr>
          <w:p w:rsidR="003D205C" w:rsidRDefault="0086548F">
            <w:pPr>
              <w:spacing w:before="120" w:after="12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NECD impacts as estimated at the time of adoption in December 2016, using the same baseline as above</w:t>
            </w:r>
          </w:p>
        </w:tc>
        <w:tc>
          <w:tcPr>
            <w:tcW w:w="3096" w:type="dxa"/>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49,6%</w:t>
            </w:r>
          </w:p>
        </w:tc>
        <w:tc>
          <w:tcPr>
            <w:tcW w:w="3097" w:type="dxa"/>
            <w:shd w:val="clear" w:color="auto" w:fill="auto"/>
          </w:tcPr>
          <w:p w:rsidR="003D205C" w:rsidRDefault="0086548F">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w:t>
            </w:r>
          </w:p>
        </w:tc>
      </w:tr>
      <w:tr w:rsidR="003D205C">
        <w:tc>
          <w:tcPr>
            <w:tcW w:w="3096" w:type="dxa"/>
            <w:shd w:val="clear" w:color="auto" w:fill="auto"/>
          </w:tcPr>
          <w:p w:rsidR="003D205C" w:rsidRDefault="0086548F">
            <w:pPr>
              <w:spacing w:before="120" w:after="120" w:line="240" w:lineRule="auto"/>
              <w:jc w:val="center"/>
              <w:rPr>
                <w:rFonts w:ascii="Times New Roman" w:eastAsia="Times New Roman" w:hAnsi="Times New Roman" w:cs="Times New Roman"/>
                <w:b/>
                <w:noProof/>
                <w:szCs w:val="20"/>
                <w:lang w:val="en-GB" w:eastAsia="en-GB"/>
              </w:rPr>
            </w:pPr>
            <w:r>
              <w:rPr>
                <w:rFonts w:ascii="Times New Roman" w:eastAsia="Times New Roman" w:hAnsi="Times New Roman" w:cs="Times New Roman"/>
                <w:b/>
                <w:noProof/>
                <w:szCs w:val="20"/>
                <w:lang w:val="en-GB" w:eastAsia="en-GB"/>
              </w:rPr>
              <w:t>NECD impacts using a baseline which incorporates the impact of source legislation adopted since 2014</w:t>
            </w:r>
          </w:p>
        </w:tc>
        <w:tc>
          <w:tcPr>
            <w:tcW w:w="3096" w:type="dxa"/>
            <w:shd w:val="clear" w:color="auto" w:fill="auto"/>
          </w:tcPr>
          <w:p w:rsidR="003D205C" w:rsidRDefault="0086548F">
            <w:pPr>
              <w:spacing w:before="120" w:after="120" w:line="240" w:lineRule="auto"/>
              <w:jc w:val="center"/>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54%</w:t>
            </w:r>
          </w:p>
        </w:tc>
        <w:tc>
          <w:tcPr>
            <w:tcW w:w="3097" w:type="dxa"/>
            <w:shd w:val="clear" w:color="auto" w:fill="auto"/>
          </w:tcPr>
          <w:p w:rsidR="003D205C" w:rsidRDefault="0086548F">
            <w:pPr>
              <w:spacing w:before="120" w:after="120" w:line="240" w:lineRule="auto"/>
              <w:jc w:val="center"/>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27%</w:t>
            </w:r>
          </w:p>
        </w:tc>
      </w:tr>
    </w:tbl>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Some explanation is in order, in particular of the calculated health impact reduction of 54% while the expected impact (at the time of adoption) was just under 50%.  This is due to two factors.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first is the effect of the specific additional source legi</w:t>
      </w:r>
      <w:r>
        <w:rPr>
          <w:rFonts w:ascii="Times New Roman" w:eastAsia="Times New Roman" w:hAnsi="Times New Roman" w:cs="Times New Roman"/>
          <w:noProof/>
          <w:sz w:val="24"/>
          <w:szCs w:val="20"/>
          <w:lang w:val="en-GB" w:eastAsia="en-GB"/>
        </w:rPr>
        <w:t>slation that has been adopted since 2014. The 2015 MCPD emission controls apply to all new combustion plants from 20 December 2018, and to existing plants by 2025 or 2030 (depending on their size). The 2015 Ecodesign Implementing Regulations apply to new s</w:t>
      </w:r>
      <w:r>
        <w:rPr>
          <w:rFonts w:ascii="Times New Roman" w:eastAsia="Times New Roman" w:hAnsi="Times New Roman" w:cs="Times New Roman"/>
          <w:noProof/>
          <w:sz w:val="24"/>
          <w:szCs w:val="20"/>
          <w:lang w:val="en-GB" w:eastAsia="en-GB"/>
        </w:rPr>
        <w:t>olid fuel boilers sold on the market from 1 January 2020, and to new solid fuel stoves from 1 January 2022. The 2016 Regulation on Non Road Mobile Machinery (NRMM)</w:t>
      </w:r>
      <w:r>
        <w:rPr>
          <w:rFonts w:ascii="Times New Roman" w:eastAsia="Times New Roman" w:hAnsi="Times New Roman" w:cs="Times New Roman"/>
          <w:noProof/>
          <w:sz w:val="24"/>
          <w:szCs w:val="20"/>
          <w:vertAlign w:val="superscript"/>
          <w:lang w:val="en-GB" w:eastAsia="en-GB"/>
        </w:rPr>
        <w:footnoteReference w:id="24"/>
      </w:r>
      <w:r>
        <w:rPr>
          <w:rFonts w:ascii="Times New Roman" w:eastAsia="Times New Roman" w:hAnsi="Times New Roman" w:cs="Times New Roman"/>
          <w:noProof/>
          <w:sz w:val="24"/>
          <w:szCs w:val="20"/>
          <w:lang w:val="en-GB" w:eastAsia="en-GB"/>
        </w:rPr>
        <w:t xml:space="preserve"> applies to engines placed on the market from 1 January 2019, 2020 or 2021, depending on the</w:t>
      </w:r>
      <w:r>
        <w:rPr>
          <w:rFonts w:ascii="Times New Roman" w:eastAsia="Times New Roman" w:hAnsi="Times New Roman" w:cs="Times New Roman"/>
          <w:noProof/>
          <w:sz w:val="24"/>
          <w:szCs w:val="20"/>
          <w:lang w:val="en-GB" w:eastAsia="en-GB"/>
        </w:rPr>
        <w:t xml:space="preserve"> class of engine.  The 2017 Large Combustion Plants BAT Conclusions apply to new plants from 17 August 2017, and to all existing plants by 17 August 2021. The 2013 Clean Air Package stressed the potential contribution that the implementation of these initi</w:t>
      </w:r>
      <w:r>
        <w:rPr>
          <w:rFonts w:ascii="Times New Roman" w:eastAsia="Times New Roman" w:hAnsi="Times New Roman" w:cs="Times New Roman"/>
          <w:noProof/>
          <w:sz w:val="24"/>
          <w:szCs w:val="20"/>
          <w:lang w:val="en-GB" w:eastAsia="en-GB"/>
        </w:rPr>
        <w:t>atives could deliver by 2030, and the final versions of the laws are now incorporated in the analysis. A combined assessment of all such measures allows to conclude that greater reductions than those estimated at the time of adoption of the NECD are actual</w:t>
      </w:r>
      <w:r>
        <w:rPr>
          <w:rFonts w:ascii="Times New Roman" w:eastAsia="Times New Roman" w:hAnsi="Times New Roman" w:cs="Times New Roman"/>
          <w:noProof/>
          <w:sz w:val="24"/>
          <w:szCs w:val="20"/>
          <w:lang w:val="en-GB" w:eastAsia="en-GB"/>
        </w:rPr>
        <w:t>ly to be expected by 2030, provided full compliance with all relevant legal requirements is ensured.</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second factor is where measures introduced to reduce emissions of one pollutant deliver co-benefits for others (so-called 'co-control measures'). An ex</w:t>
      </w:r>
      <w:r>
        <w:rPr>
          <w:rFonts w:ascii="Times New Roman" w:eastAsia="Times New Roman" w:hAnsi="Times New Roman" w:cs="Times New Roman"/>
          <w:noProof/>
          <w:sz w:val="24"/>
          <w:szCs w:val="20"/>
          <w:lang w:val="en-GB" w:eastAsia="en-GB"/>
        </w:rPr>
        <w:t>ample is controls on agricultural waste burning under the CAP</w:t>
      </w:r>
      <w:r>
        <w:rPr>
          <w:rFonts w:ascii="Times New Roman" w:eastAsia="Times New Roman" w:hAnsi="Times New Roman" w:cs="Times New Roman"/>
          <w:noProof/>
          <w:sz w:val="24"/>
          <w:szCs w:val="20"/>
          <w:lang w:val="en-GB" w:eastAsia="en-GB"/>
        </w:rPr>
        <w:footnoteReference w:id="25"/>
      </w:r>
      <w:r>
        <w:rPr>
          <w:rFonts w:ascii="Times New Roman" w:eastAsia="Times New Roman" w:hAnsi="Times New Roman" w:cs="Times New Roman"/>
          <w:noProof/>
          <w:sz w:val="24"/>
          <w:szCs w:val="20"/>
          <w:lang w:val="en-GB" w:eastAsia="en-GB"/>
        </w:rPr>
        <w:t xml:space="preserve"> and Annex III of the NECD, often driven by the need to achieve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reductions, but which also reduce PM and VOCs.  In many cases these synergies lead to cost savings but in some other cases, th</w:t>
      </w:r>
      <w:r>
        <w:rPr>
          <w:rFonts w:ascii="Times New Roman" w:eastAsia="Times New Roman" w:hAnsi="Times New Roman" w:cs="Times New Roman"/>
          <w:noProof/>
          <w:sz w:val="24"/>
          <w:szCs w:val="20"/>
          <w:lang w:val="en-GB" w:eastAsia="en-GB"/>
        </w:rPr>
        <w:t>ey mainly lead to additional health benefits. The impact of this factor will depend on the combination of measures selected in practice by Member States.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These effects do not play out in the same way for eutrophication. Indeed, none of the  additional piec</w:t>
      </w:r>
      <w:r>
        <w:rPr>
          <w:rFonts w:ascii="Times New Roman" w:eastAsia="Times New Roman" w:hAnsi="Times New Roman" w:cs="Times New Roman"/>
          <w:noProof/>
          <w:sz w:val="24"/>
          <w:szCs w:val="20"/>
          <w:lang w:val="en-GB" w:eastAsia="en-GB"/>
        </w:rPr>
        <w:t>es of EU source legislation adopted since 2014 tackles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and co-control benefits are limited.  Thus the relaxation in the required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emission reduction between the Commission proposal and the adopted NECD (from 25% reduction to 19%) results in a broad</w:t>
      </w:r>
      <w:r>
        <w:rPr>
          <w:rFonts w:ascii="Times New Roman" w:eastAsia="Times New Roman" w:hAnsi="Times New Roman" w:cs="Times New Roman"/>
          <w:noProof/>
          <w:sz w:val="24"/>
          <w:szCs w:val="20"/>
          <w:lang w:val="en-GB" w:eastAsia="en-GB"/>
        </w:rPr>
        <w:t>ly proportionate drop in the ecosystem improvement resulting from the emission reduction.</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Implementation of the NECD reduction commitments for 2020 and 2030</w:t>
      </w: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Achievement of the 2020 reduction commitments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2013 Impact Assessment projected that the EU's </w:t>
      </w:r>
      <w:r>
        <w:rPr>
          <w:rFonts w:ascii="Times New Roman" w:eastAsia="Times New Roman" w:hAnsi="Times New Roman" w:cs="Times New Roman"/>
          <w:noProof/>
          <w:sz w:val="24"/>
          <w:szCs w:val="20"/>
          <w:lang w:val="en-GB" w:eastAsia="en-GB"/>
        </w:rPr>
        <w:t>2020 reduction commitments (set in the 2012 revision of the Gothenburg Protocol) would be achieved by the EU legislation already in force at that point.  This is confirmed at EU level by the updated analysis, but the implications for individual Member Stat</w:t>
      </w:r>
      <w:r>
        <w:rPr>
          <w:rFonts w:ascii="Times New Roman" w:eastAsia="Times New Roman" w:hAnsi="Times New Roman" w:cs="Times New Roman"/>
          <w:noProof/>
          <w:sz w:val="24"/>
          <w:szCs w:val="20"/>
          <w:lang w:val="en-GB" w:eastAsia="en-GB"/>
        </w:rPr>
        <w:t>es can vary and, depending on national circumstances, further action may be needed to ensure compliance.</w:t>
      </w: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bookmarkStart w:id="6" w:name="_Ref496879435"/>
      <w:r>
        <w:rPr>
          <w:rFonts w:ascii="Times New Roman" w:eastAsia="Times New Roman" w:hAnsi="Times New Roman" w:cs="Times New Roman"/>
          <w:i/>
          <w:noProof/>
          <w:sz w:val="24"/>
          <w:szCs w:val="20"/>
          <w:lang w:val="en-GB" w:eastAsia="en-GB"/>
        </w:rPr>
        <w:t>Achievement of the 2030 reduction commitment</w:t>
      </w:r>
      <w:bookmarkEnd w:id="6"/>
      <w:r>
        <w:rPr>
          <w:rFonts w:ascii="Times New Roman" w:eastAsia="Times New Roman" w:hAnsi="Times New Roman" w:cs="Times New Roman"/>
          <w:i/>
          <w:noProof/>
          <w:sz w:val="24"/>
          <w:szCs w:val="20"/>
          <w:lang w:val="en-GB" w:eastAsia="en-GB"/>
        </w:rPr>
        <w:t>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estimate for achieving the 2030 reductions in the Commission’s proposal for the NECD was €2,2bn.</w:t>
      </w:r>
      <w:r>
        <w:rPr>
          <w:rFonts w:ascii="Times New Roman" w:eastAsia="Times New Roman" w:hAnsi="Times New Roman" w:cs="Times New Roman"/>
          <w:noProof/>
          <w:sz w:val="24"/>
          <w:szCs w:val="20"/>
          <w:vertAlign w:val="superscript"/>
          <w:lang w:val="en-GB" w:eastAsia="en-GB"/>
        </w:rPr>
        <w:footnoteReference w:id="26"/>
      </w:r>
      <w:r>
        <w:rPr>
          <w:rFonts w:ascii="Times New Roman" w:eastAsia="Times New Roman" w:hAnsi="Times New Roman" w:cs="Times New Roman"/>
          <w:noProof/>
          <w:sz w:val="24"/>
          <w:szCs w:val="20"/>
          <w:lang w:val="en-GB" w:eastAsia="en-GB"/>
        </w:rPr>
        <w:t xml:space="preserve">  The analysis shows that the cost of achieving the actual levels of reductions as agreed within the NECD as adopted in December 2016 are actually lower, i.e. €1,8bn. This is a consequence of the relaxation of level of reduction targets agreed by the co-le</w:t>
      </w:r>
      <w:r>
        <w:rPr>
          <w:rFonts w:ascii="Times New Roman" w:eastAsia="Times New Roman" w:hAnsi="Times New Roman" w:cs="Times New Roman"/>
          <w:noProof/>
          <w:sz w:val="24"/>
          <w:szCs w:val="20"/>
          <w:lang w:val="en-GB" w:eastAsia="en-GB"/>
        </w:rPr>
        <w:t xml:space="preserve">gislators. </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If the additional source legislation adopted since 2014 is taken into account, the costs attributable to the NECD are expected to reduce further to €960m (or 1.9€/person/year</w:t>
      </w:r>
      <w:r>
        <w:rPr>
          <w:rFonts w:ascii="Times New Roman" w:eastAsia="Times New Roman" w:hAnsi="Times New Roman" w:cs="Times New Roman"/>
          <w:noProof/>
          <w:sz w:val="24"/>
          <w:szCs w:val="20"/>
          <w:vertAlign w:val="superscript"/>
          <w:lang w:val="en-GB" w:eastAsia="en-GB"/>
        </w:rPr>
        <w:footnoteReference w:id="27"/>
      </w:r>
      <w:r>
        <w:rPr>
          <w:rFonts w:ascii="Times New Roman" w:eastAsia="Times New Roman" w:hAnsi="Times New Roman" w:cs="Times New Roman"/>
          <w:noProof/>
          <w:sz w:val="24"/>
          <w:szCs w:val="20"/>
          <w:lang w:val="en-GB" w:eastAsia="en-GB"/>
        </w:rPr>
        <w:t>). Most of the difference is in the domestic sector, resulting from i</w:t>
      </w:r>
      <w:r>
        <w:rPr>
          <w:rFonts w:ascii="Times New Roman" w:eastAsia="Times New Roman" w:hAnsi="Times New Roman" w:cs="Times New Roman"/>
          <w:noProof/>
          <w:sz w:val="24"/>
          <w:szCs w:val="20"/>
          <w:lang w:val="en-GB" w:eastAsia="en-GB"/>
        </w:rPr>
        <w:t>mplementation of the Ecodesign provisions for solid fuel stoves and boilers.  If the estimated impact of the future EU 2030 climate and energy framework</w:t>
      </w:r>
      <w:r>
        <w:rPr>
          <w:rFonts w:ascii="Times New Roman" w:eastAsia="Times New Roman" w:hAnsi="Times New Roman" w:cs="Times New Roman"/>
          <w:noProof/>
          <w:sz w:val="24"/>
          <w:szCs w:val="20"/>
          <w:lang w:val="en-GB" w:eastAsia="en-GB"/>
        </w:rPr>
        <w:footnoteReference w:id="28"/>
      </w:r>
      <w:r>
        <w:rPr>
          <w:rFonts w:ascii="Times New Roman" w:eastAsia="Times New Roman" w:hAnsi="Times New Roman" w:cs="Times New Roman"/>
          <w:noProof/>
          <w:sz w:val="24"/>
          <w:szCs w:val="20"/>
          <w:lang w:val="en-GB" w:eastAsia="en-GB"/>
        </w:rPr>
        <w:t xml:space="preserve"> is also included, a further drop (mainly in the power and industrial sectors) to €540m (ie 1.05€/perso</w:t>
      </w:r>
      <w:r>
        <w:rPr>
          <w:rFonts w:ascii="Times New Roman" w:eastAsia="Times New Roman" w:hAnsi="Times New Roman" w:cs="Times New Roman"/>
          <w:noProof/>
          <w:sz w:val="24"/>
          <w:szCs w:val="20"/>
          <w:lang w:val="en-GB" w:eastAsia="en-GB"/>
        </w:rPr>
        <w:t>n/year) is to be expected. Benefits are expected to largely exceed costs, notably by a factor varying between 14 (the conservative estimate) and 50.</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proportion of the implementation costs borne by individual Member States also changes, due to various f</w:t>
      </w:r>
      <w:r>
        <w:rPr>
          <w:rFonts w:ascii="Times New Roman" w:eastAsia="Times New Roman" w:hAnsi="Times New Roman" w:cs="Times New Roman"/>
          <w:noProof/>
          <w:sz w:val="24"/>
          <w:szCs w:val="20"/>
          <w:lang w:val="en-GB" w:eastAsia="en-GB"/>
        </w:rPr>
        <w:t>actors including the contribution of new source legislation, and changes in projections of the 2030 national energy mix (in particular increased use of coal in some Member States).</w:t>
      </w:r>
      <w:r>
        <w:rPr>
          <w:rFonts w:ascii="Times New Roman" w:eastAsia="Times New Roman" w:hAnsi="Times New Roman" w:cs="Times New Roman"/>
          <w:noProof/>
          <w:sz w:val="24"/>
          <w:szCs w:val="20"/>
          <w:lang w:val="en-GB" w:eastAsia="en-GB"/>
        </w:rPr>
        <w:footnoteReference w:id="29"/>
      </w: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Areas where additional source legislation could be needed</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Figure 2a below </w:t>
      </w:r>
      <w:r>
        <w:rPr>
          <w:rFonts w:ascii="Times New Roman" w:eastAsia="Times New Roman" w:hAnsi="Times New Roman" w:cs="Times New Roman"/>
          <w:noProof/>
          <w:sz w:val="24"/>
          <w:szCs w:val="20"/>
          <w:lang w:val="en-GB" w:eastAsia="en-GB"/>
        </w:rPr>
        <w:t>shows the proportion of the reductions which are achieved by (a) the pre-2014 baseline, (b) the additional legislation adopted since 2014, (c) further measures required to fulfil the NECD Emission Reduction Requirements (ERRs) and (d) 'co-control measures'</w:t>
      </w:r>
      <w:r>
        <w:rPr>
          <w:rFonts w:ascii="Times New Roman" w:eastAsia="Times New Roman" w:hAnsi="Times New Roman" w:cs="Times New Roman"/>
          <w:noProof/>
          <w:sz w:val="24"/>
          <w:szCs w:val="20"/>
          <w:lang w:val="en-GB" w:eastAsia="en-GB"/>
        </w:rPr>
        <w:t xml:space="preserve"> (see section 3.1 above).  The most relevant co-control measures are a) the ban of agricultural waste burning included in Annex III of the NECD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as well as CO and CH</w:t>
      </w:r>
      <w:r>
        <w:rPr>
          <w:rFonts w:ascii="Times New Roman" w:eastAsia="Times New Roman" w:hAnsi="Times New Roman" w:cs="Times New Roman"/>
          <w:noProof/>
          <w:sz w:val="24"/>
          <w:szCs w:val="20"/>
          <w:vertAlign w:val="subscript"/>
          <w:lang w:val="en-GB" w:eastAsia="en-GB"/>
        </w:rPr>
        <w:t>4</w:t>
      </w:r>
      <w:r>
        <w:rPr>
          <w:rFonts w:ascii="Times New Roman" w:eastAsia="Times New Roman" w:hAnsi="Times New Roman" w:cs="Times New Roman"/>
          <w:noProof/>
          <w:sz w:val="24"/>
          <w:szCs w:val="20"/>
          <w:lang w:val="en-GB" w:eastAsia="en-GB"/>
        </w:rPr>
        <w:t>) b) control of emissions from wood stoves to Ecodesign sta</w:t>
      </w:r>
      <w:r>
        <w:rPr>
          <w:rFonts w:ascii="Times New Roman" w:eastAsia="Times New Roman" w:hAnsi="Times New Roman" w:cs="Times New Roman"/>
          <w:noProof/>
          <w:sz w:val="24"/>
          <w:szCs w:val="20"/>
          <w:lang w:val="en-GB" w:eastAsia="en-GB"/>
        </w:rPr>
        <w:t>ndards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xml:space="preserve"> and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as well as CO and CH</w:t>
      </w:r>
      <w:r>
        <w:rPr>
          <w:rFonts w:ascii="Times New Roman" w:eastAsia="Times New Roman" w:hAnsi="Times New Roman" w:cs="Times New Roman"/>
          <w:noProof/>
          <w:sz w:val="24"/>
          <w:szCs w:val="20"/>
          <w:vertAlign w:val="subscript"/>
          <w:lang w:val="en-GB" w:eastAsia="en-GB"/>
        </w:rPr>
        <w:t>4</w:t>
      </w:r>
      <w:r>
        <w:rPr>
          <w:rFonts w:ascii="Times New Roman" w:eastAsia="Times New Roman" w:hAnsi="Times New Roman" w:cs="Times New Roman"/>
          <w:noProof/>
          <w:sz w:val="24"/>
          <w:szCs w:val="20"/>
          <w:lang w:val="en-GB" w:eastAsia="en-GB"/>
        </w:rPr>
        <w:t>) and c) control of emissions from coal stoves, also under Ecodesign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and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Broadly speaking the analysis confirms the overall validity of the approach </w:t>
      </w:r>
      <w:r>
        <w:rPr>
          <w:rFonts w:ascii="Times New Roman" w:eastAsia="Times New Roman" w:hAnsi="Times New Roman" w:cs="Times New Roman"/>
          <w:noProof/>
          <w:sz w:val="24"/>
          <w:szCs w:val="20"/>
          <w:lang w:val="en-GB" w:eastAsia="en-GB"/>
        </w:rPr>
        <w:t>taken in the original proposal.  For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and NO</w:t>
      </w:r>
      <w:r>
        <w:rPr>
          <w:rFonts w:ascii="Times New Roman" w:eastAsia="Times New Roman" w:hAnsi="Times New Roman" w:cs="Times New Roman"/>
          <w:noProof/>
          <w:sz w:val="24"/>
          <w:szCs w:val="20"/>
          <w:vertAlign w:val="subscript"/>
          <w:lang w:val="en-GB" w:eastAsia="en-GB"/>
        </w:rPr>
        <w:t xml:space="preserve">x </w:t>
      </w:r>
      <w:r>
        <w:rPr>
          <w:rFonts w:ascii="Times New Roman" w:eastAsia="Times New Roman" w:hAnsi="Times New Roman" w:cs="Times New Roman"/>
          <w:noProof/>
          <w:sz w:val="24"/>
          <w:szCs w:val="20"/>
          <w:lang w:val="en-GB" w:eastAsia="en-GB"/>
        </w:rPr>
        <w:t xml:space="preserve">deep reductions are achieved by the legislation already in force by 2013. The main effect of the reduction commitments is to consolidate these and ensure that changes in activity (e.g. increased coal use in </w:t>
      </w:r>
      <w:r>
        <w:rPr>
          <w:rFonts w:ascii="Times New Roman" w:eastAsia="Times New Roman" w:hAnsi="Times New Roman" w:cs="Times New Roman"/>
          <w:noProof/>
          <w:sz w:val="24"/>
          <w:szCs w:val="20"/>
          <w:lang w:val="en-GB" w:eastAsia="en-GB"/>
        </w:rPr>
        <w:t xml:space="preserve">some Member States) do not affect the overall reduction. For PM and VOCs, the impact of the NECD and of the additional legislation adopted since 2014 is substantially higher, reflecting the smaller reductions achieved by earlier legislation. </w:t>
      </w:r>
    </w:p>
    <w:p w:rsidR="003D205C" w:rsidRDefault="0086548F">
      <w:pP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br w:type="page"/>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2a:</w:t>
      </w:r>
      <w:r>
        <w:rPr>
          <w:rFonts w:ascii="Times New Roman" w:eastAsia="Times New Roman" w:hAnsi="Times New Roman" w:cs="Times New Roman"/>
          <w:b/>
          <w:noProof/>
          <w:lang w:val="en-GB" w:eastAsia="en-GB"/>
        </w:rPr>
        <w:t xml:space="preserve"> Contributions to the Emissions Reduction Requirements (ERRs) delivered by (i) the pre-2014 legislation baseline, (ii) the POST-2014 legislation measures, (iii) further measures that are required to meet the Emission Reduction Requirements, and (iv) co-con</w:t>
      </w:r>
      <w:r>
        <w:rPr>
          <w:rFonts w:ascii="Times New Roman" w:eastAsia="Times New Roman" w:hAnsi="Times New Roman" w:cs="Times New Roman"/>
          <w:b/>
          <w:noProof/>
          <w:lang w:val="en-GB" w:eastAsia="en-GB"/>
        </w:rPr>
        <w:t>trols from measures targeted at other emissions.  SO</w:t>
      </w:r>
      <w:r>
        <w:rPr>
          <w:rFonts w:ascii="Times New Roman" w:eastAsia="Times New Roman" w:hAnsi="Times New Roman" w:cs="Times New Roman"/>
          <w:b/>
          <w:noProof/>
          <w:vertAlign w:val="subscript"/>
          <w:lang w:val="en-GB" w:eastAsia="en-GB"/>
        </w:rPr>
        <w:t>2</w:t>
      </w:r>
      <w:r>
        <w:rPr>
          <w:rFonts w:ascii="Times New Roman" w:eastAsia="Times New Roman" w:hAnsi="Times New Roman" w:cs="Times New Roman"/>
          <w:b/>
          <w:noProof/>
          <w:lang w:val="en-GB" w:eastAsia="en-GB"/>
        </w:rPr>
        <w:t>, NOx, VOC and PM</w:t>
      </w:r>
      <w:r>
        <w:rPr>
          <w:rFonts w:ascii="Times New Roman" w:eastAsia="Times New Roman" w:hAnsi="Times New Roman" w:cs="Times New Roman"/>
          <w:b/>
          <w:noProof/>
          <w:vertAlign w:val="subscript"/>
          <w:lang w:val="en-GB" w:eastAsia="en-GB"/>
        </w:rPr>
        <w:t>2,5</w:t>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noProof/>
          <w:lang w:val="en-GB" w:eastAsia="en-GB"/>
        </w:rPr>
        <w:drawing>
          <wp:inline distT="0" distB="0" distL="0" distR="0">
            <wp:extent cx="2800350" cy="3573145"/>
            <wp:effectExtent l="0" t="0" r="0" b="825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3573145"/>
                    </a:xfrm>
                    <a:prstGeom prst="rect">
                      <a:avLst/>
                    </a:prstGeom>
                    <a:noFill/>
                  </pic:spPr>
                </pic:pic>
              </a:graphicData>
            </a:graphic>
          </wp:inline>
        </w:drawing>
      </w:r>
      <w:r>
        <w:rPr>
          <w:noProof/>
          <w:lang w:val="en-GB" w:eastAsia="en-GB"/>
        </w:rPr>
        <w:drawing>
          <wp:inline distT="0" distB="0" distL="0" distR="0">
            <wp:extent cx="2790825" cy="3581384"/>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3581384"/>
                    </a:xfrm>
                    <a:prstGeom prst="rect">
                      <a:avLst/>
                    </a:prstGeom>
                    <a:noFill/>
                  </pic:spPr>
                </pic:pic>
              </a:graphicData>
            </a:graphic>
          </wp:inline>
        </w:drawing>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noProof/>
          <w:lang w:val="en-GB" w:eastAsia="en-GB"/>
        </w:rPr>
        <w:drawing>
          <wp:inline distT="0" distB="0" distL="0" distR="0">
            <wp:extent cx="2771775" cy="3502025"/>
            <wp:effectExtent l="0" t="0" r="9525" b="3175"/>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1775" cy="3502025"/>
                    </a:xfrm>
                    <a:prstGeom prst="rect">
                      <a:avLst/>
                    </a:prstGeom>
                    <a:noFill/>
                  </pic:spPr>
                </pic:pic>
              </a:graphicData>
            </a:graphic>
          </wp:inline>
        </w:drawing>
      </w:r>
      <w:r>
        <w:rPr>
          <w:noProof/>
          <w:lang w:val="en-GB" w:eastAsia="en-GB"/>
        </w:rPr>
        <w:drawing>
          <wp:inline distT="0" distB="0" distL="0" distR="0">
            <wp:extent cx="2741930" cy="3482975"/>
            <wp:effectExtent l="0" t="0" r="1270" b="317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1930" cy="3482975"/>
                    </a:xfrm>
                    <a:prstGeom prst="rect">
                      <a:avLst/>
                    </a:prstGeom>
                    <a:noFill/>
                  </pic:spPr>
                </pic:pic>
              </a:graphicData>
            </a:graphic>
          </wp:inline>
        </w:drawing>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br w:type="page"/>
        <w:t>For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the picture is different, as shown in Figure 2b.  The reductions must be delivered almost entirely by the NECD, with little contribution from source legislation eithe</w:t>
      </w:r>
      <w:r>
        <w:rPr>
          <w:rFonts w:ascii="Times New Roman" w:eastAsia="Times New Roman" w:hAnsi="Times New Roman" w:cs="Times New Roman"/>
          <w:noProof/>
          <w:sz w:val="24"/>
          <w:szCs w:val="20"/>
          <w:lang w:val="en-GB" w:eastAsia="en-GB"/>
        </w:rPr>
        <w:t>r in the baseline prior to 2014 or in the additional measures adopted since.</w:t>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2b: NH</w:t>
      </w:r>
      <w:r>
        <w:rPr>
          <w:rFonts w:ascii="Times New Roman" w:eastAsia="Times New Roman" w:hAnsi="Times New Roman" w:cs="Times New Roman"/>
          <w:b/>
          <w:noProof/>
          <w:vertAlign w:val="subscript"/>
          <w:lang w:val="en-GB" w:eastAsia="en-GB"/>
        </w:rPr>
        <w:t>3</w:t>
      </w:r>
      <w:r>
        <w:rPr>
          <w:rFonts w:ascii="Times New Roman" w:eastAsia="Times New Roman" w:hAnsi="Times New Roman" w:cs="Times New Roman"/>
          <w:b/>
          <w:noProof/>
          <w:lang w:val="en-GB" w:eastAsia="en-GB"/>
        </w:rPr>
        <w:t xml:space="preserve"> - contributions to the Emission Reduction Requirements (ERRs) delivered by (i) the pre-2014 legislation baseline, (ii) the post-2014 legislation measures, (iii) fu</w:t>
      </w:r>
      <w:r>
        <w:rPr>
          <w:rFonts w:ascii="Times New Roman" w:eastAsia="Times New Roman" w:hAnsi="Times New Roman" w:cs="Times New Roman"/>
          <w:b/>
          <w:noProof/>
          <w:lang w:val="en-GB" w:eastAsia="en-GB"/>
        </w:rPr>
        <w:t>rther measures that are required to meet the ERRs, and (iv) co-controls from measures targeted at other emissions.</w:t>
      </w:r>
    </w:p>
    <w:p w:rsidR="003D205C" w:rsidRDefault="0086548F">
      <w:pPr>
        <w:keepNext/>
        <w:spacing w:after="120" w:line="240" w:lineRule="auto"/>
        <w:jc w:val="both"/>
        <w:rPr>
          <w:rFonts w:ascii="Times New Roman" w:eastAsia="Times New Roman" w:hAnsi="Times New Roman" w:cs="Times New Roman"/>
          <w:b/>
          <w:noProof/>
          <w:lang w:val="en-GB" w:eastAsia="en-GB"/>
        </w:rPr>
      </w:pPr>
      <w:r>
        <w:rPr>
          <w:noProof/>
          <w:lang w:val="en-GB" w:eastAsia="en-GB"/>
        </w:rPr>
        <w:drawing>
          <wp:inline distT="0" distB="0" distL="0" distR="0">
            <wp:extent cx="2828925" cy="3567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8753" cy="3566880"/>
                    </a:xfrm>
                    <a:prstGeom prst="rect">
                      <a:avLst/>
                    </a:prstGeom>
                    <a:noFill/>
                    <a:ln>
                      <a:noFill/>
                    </a:ln>
                  </pic:spPr>
                </pic:pic>
              </a:graphicData>
            </a:graphic>
          </wp:inline>
        </w:drawing>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sectors in which the required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reductions could be delivered are shown in Figure 3 below. Measures to reduce emissions from applica</w:t>
      </w:r>
      <w:r>
        <w:rPr>
          <w:rFonts w:ascii="Times New Roman" w:eastAsia="Times New Roman" w:hAnsi="Times New Roman" w:cs="Times New Roman"/>
          <w:noProof/>
          <w:sz w:val="24"/>
          <w:szCs w:val="20"/>
          <w:lang w:val="en-GB" w:eastAsia="en-GB"/>
        </w:rPr>
        <w:t>tion of mineral fertilisers, specifically urea, are identified as cost-effective in many Member States. A full ban on use of urea was not included in the NECD, as there are viable options including optimised timing and rate of application, use of commercia</w:t>
      </w:r>
      <w:r>
        <w:rPr>
          <w:rFonts w:ascii="Times New Roman" w:eastAsia="Times New Roman" w:hAnsi="Times New Roman" w:cs="Times New Roman"/>
          <w:noProof/>
          <w:sz w:val="24"/>
          <w:szCs w:val="20"/>
          <w:lang w:val="en-GB" w:eastAsia="en-GB"/>
        </w:rPr>
        <w:t>lly available urease inhibitors, or switching to other mineral fertilisers with lower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loses (e.g ammonium nitrate).  A substantial proportion of the reduction is to be achieved from manure management at pig and poultry farms, and the recent BAT conclus</w:t>
      </w:r>
      <w:r>
        <w:rPr>
          <w:rFonts w:ascii="Times New Roman" w:eastAsia="Times New Roman" w:hAnsi="Times New Roman" w:cs="Times New Roman"/>
          <w:noProof/>
          <w:sz w:val="24"/>
          <w:szCs w:val="20"/>
          <w:lang w:val="en-GB" w:eastAsia="en-GB"/>
        </w:rPr>
        <w:t>ions on Intensive Rearing of Pigs and Poultry</w:t>
      </w:r>
      <w:r>
        <w:rPr>
          <w:rFonts w:ascii="Times New Roman" w:eastAsia="Times New Roman" w:hAnsi="Times New Roman" w:cs="Times New Roman"/>
          <w:noProof/>
          <w:sz w:val="24"/>
          <w:szCs w:val="20"/>
          <w:lang w:val="en-GB" w:eastAsia="en-GB"/>
        </w:rPr>
        <w:footnoteReference w:id="30"/>
      </w:r>
      <w:r>
        <w:rPr>
          <w:rFonts w:ascii="Times New Roman" w:eastAsia="Times New Roman" w:hAnsi="Times New Roman" w:cs="Times New Roman"/>
          <w:noProof/>
          <w:sz w:val="24"/>
          <w:szCs w:val="20"/>
          <w:lang w:val="en-GB" w:eastAsia="en-GB"/>
        </w:rPr>
        <w:t xml:space="preserve"> (not yet included in the analysis) may contribute to the required reductions. Manure management measures beyond this scope are also widely cost-effective, and a simplified BAT-based scheme for manure managemen</w:t>
      </w:r>
      <w:r>
        <w:rPr>
          <w:rFonts w:ascii="Times New Roman" w:eastAsia="Times New Roman" w:hAnsi="Times New Roman" w:cs="Times New Roman"/>
          <w:noProof/>
          <w:sz w:val="24"/>
          <w:szCs w:val="20"/>
          <w:lang w:val="en-GB" w:eastAsia="en-GB"/>
        </w:rPr>
        <w:t>t, e.g. inspired by the experience with the Industrial Emissions Directive, would provide substantial support for implementation. Synergies with the implementation of relevant EU legislation, such as the Nitrates Directive 91/676/EEC</w:t>
      </w:r>
      <w:r>
        <w:rPr>
          <w:rFonts w:ascii="Times New Roman" w:eastAsia="Times New Roman" w:hAnsi="Times New Roman" w:cs="Times New Roman"/>
          <w:noProof/>
          <w:sz w:val="24"/>
          <w:szCs w:val="20"/>
          <w:vertAlign w:val="superscript"/>
          <w:lang w:val="en-GB" w:eastAsia="en-GB"/>
        </w:rPr>
        <w:footnoteReference w:id="31"/>
      </w:r>
      <w:r>
        <w:rPr>
          <w:rFonts w:ascii="Times New Roman" w:eastAsia="Times New Roman" w:hAnsi="Times New Roman" w:cs="Times New Roman"/>
          <w:noProof/>
          <w:sz w:val="24"/>
          <w:szCs w:val="20"/>
          <w:lang w:val="en-GB" w:eastAsia="en-GB"/>
        </w:rPr>
        <w:t xml:space="preserve">, should also be </w:t>
      </w:r>
      <w:r>
        <w:rPr>
          <w:rFonts w:ascii="Times New Roman" w:eastAsia="Times New Roman" w:hAnsi="Times New Roman" w:cs="Times New Roman"/>
          <w:noProof/>
          <w:sz w:val="24"/>
          <w:szCs w:val="20"/>
          <w:lang w:val="en-GB" w:eastAsia="en-GB"/>
        </w:rPr>
        <w:t>further strengthened by encouraging Member States to introduce management measures addressing the requirements of air, water and soil in an integrated way.</w:t>
      </w:r>
    </w:p>
    <w:p w:rsidR="003D205C" w:rsidRDefault="0086548F">
      <w:pPr>
        <w:keepNext/>
        <w:spacing w:after="120" w:line="240" w:lineRule="auto"/>
        <w:jc w:val="both"/>
        <w:rPr>
          <w:rFonts w:ascii="Times New Roman" w:eastAsia="Times New Roman" w:hAnsi="Times New Roman" w:cs="Times New Roman"/>
          <w:b/>
          <w:noProof/>
          <w:highlight w:val="yellow"/>
          <w:lang w:val="en-GB" w:eastAsia="en-GB"/>
        </w:rPr>
      </w:pPr>
      <w:r>
        <w:rPr>
          <w:rFonts w:ascii="Times New Roman" w:eastAsia="Times New Roman" w:hAnsi="Times New Roman" w:cs="Times New Roman"/>
          <w:b/>
          <w:noProof/>
          <w:lang w:val="en-GB" w:eastAsia="en-GB"/>
        </w:rPr>
        <w:t>Figure 3: Further reductions of NH</w:t>
      </w:r>
      <w:r>
        <w:rPr>
          <w:rFonts w:ascii="Times New Roman" w:eastAsia="Times New Roman" w:hAnsi="Times New Roman" w:cs="Times New Roman"/>
          <w:b/>
          <w:noProof/>
          <w:vertAlign w:val="subscript"/>
          <w:lang w:val="en-GB" w:eastAsia="en-GB"/>
        </w:rPr>
        <w:t>3</w:t>
      </w:r>
      <w:r>
        <w:rPr>
          <w:rFonts w:ascii="Times New Roman" w:eastAsia="Times New Roman" w:hAnsi="Times New Roman" w:cs="Times New Roman"/>
          <w:b/>
          <w:noProof/>
          <w:lang w:val="en-GB" w:eastAsia="en-GB"/>
        </w:rPr>
        <w:t xml:space="preserve"> emissions to reach the ERRs in 2030, beyond the 2017 legislation</w:t>
      </w:r>
      <w:r>
        <w:rPr>
          <w:rFonts w:ascii="Times New Roman" w:eastAsia="Times New Roman" w:hAnsi="Times New Roman" w:cs="Times New Roman"/>
          <w:b/>
          <w:noProof/>
          <w:lang w:val="en-GB" w:eastAsia="en-GB"/>
        </w:rPr>
        <w:t xml:space="preserve"> baseline, by sector</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Calibri Light" w:eastAsia="Times New Roman" w:hAnsi="Calibri Light" w:cs="Times New Roman"/>
          <w:noProof/>
          <w:lang w:val="en-GB" w:eastAsia="en-GB"/>
        </w:rPr>
        <w:drawing>
          <wp:inline distT="0" distB="0" distL="0" distR="0">
            <wp:extent cx="4962525" cy="3086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62525" cy="3086100"/>
                    </a:xfrm>
                    <a:prstGeom prst="rect">
                      <a:avLst/>
                    </a:prstGeom>
                    <a:noFill/>
                    <a:ln>
                      <a:noFill/>
                    </a:ln>
                  </pic:spPr>
                </pic:pic>
              </a:graphicData>
            </a:graphic>
          </wp:inline>
        </w:drawing>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Sectoral and macroeconomic impacts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economic effects of air pollution regulation extend beyond the direct benefits and costs presented in Sections 3.1 and 3.2.2. First, implementing pollution reduction technologies generates addi</w:t>
      </w:r>
      <w:r>
        <w:rPr>
          <w:rFonts w:ascii="Times New Roman" w:eastAsia="Times New Roman" w:hAnsi="Times New Roman" w:cs="Times New Roman"/>
          <w:noProof/>
          <w:sz w:val="24"/>
          <w:szCs w:val="20"/>
          <w:lang w:val="en-GB" w:eastAsia="en-GB"/>
        </w:rPr>
        <w:t>tional demand for the sectors delivering the abatement goods. Second, rising abatement costs may influence the competitiveness of sectors that are active on an international market. Third, impacts on a sector's output can generate economy-wide impacts by a</w:t>
      </w:r>
      <w:r>
        <w:rPr>
          <w:rFonts w:ascii="Times New Roman" w:eastAsia="Times New Roman" w:hAnsi="Times New Roman" w:cs="Times New Roman"/>
          <w:noProof/>
          <w:sz w:val="24"/>
          <w:szCs w:val="20"/>
          <w:lang w:val="en-GB" w:eastAsia="en-GB"/>
        </w:rPr>
        <w:t>ffecting the demand for intermediate goods and labour. The latter implies changes in employment and wages, affecting households' disposable incomes and welfare.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To account for these indirect effects, macro-economic and sector-specific impacts of achieving </w:t>
      </w:r>
      <w:r>
        <w:rPr>
          <w:rFonts w:ascii="Times New Roman" w:eastAsia="Times New Roman" w:hAnsi="Times New Roman" w:cs="Times New Roman"/>
          <w:noProof/>
          <w:sz w:val="24"/>
          <w:szCs w:val="20"/>
          <w:lang w:val="en-GB" w:eastAsia="en-GB"/>
        </w:rPr>
        <w:t>the 2030 commitments were calculated (using the JRC-GEM-E3 model). These are set out in Table 2 below and are broadly as identified in the 2013 Impact Assessment accompanying the Commission proposal for the NECD: the costs of achieving the 2030 reduction c</w:t>
      </w:r>
      <w:r>
        <w:rPr>
          <w:rFonts w:ascii="Times New Roman" w:eastAsia="Times New Roman" w:hAnsi="Times New Roman" w:cs="Times New Roman"/>
          <w:noProof/>
          <w:sz w:val="24"/>
          <w:szCs w:val="20"/>
          <w:lang w:val="en-GB" w:eastAsia="en-GB"/>
        </w:rPr>
        <w:t>ommitments are more than offset by health and agriculture benefits (reduced sick leave and improved crop yields), generating a small positive GDP impact. Sectors that incur a substantial share of the costs (e.g. agriculture) experience a slight decrease in</w:t>
      </w:r>
      <w:r>
        <w:rPr>
          <w:rFonts w:ascii="Times New Roman" w:eastAsia="Times New Roman" w:hAnsi="Times New Roman" w:cs="Times New Roman"/>
          <w:noProof/>
          <w:sz w:val="24"/>
          <w:szCs w:val="20"/>
          <w:lang w:val="en-GB" w:eastAsia="en-GB"/>
        </w:rPr>
        <w:t xml:space="preserve"> output, while production rises in sectors that benefit from increased demand for abatement goods, such as electric goods, transport and other equipment goods.</w:t>
      </w:r>
    </w:p>
    <w:p w:rsidR="003D205C" w:rsidRDefault="003D205C">
      <w:pPr>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keepNext/>
        <w:spacing w:before="120" w:after="120" w:line="240" w:lineRule="auto"/>
        <w:jc w:val="both"/>
        <w:rPr>
          <w:rFonts w:ascii="Times New Roman" w:eastAsia="Times New Roman" w:hAnsi="Times New Roman" w:cs="Times New Roman"/>
          <w:b/>
          <w:bCs/>
          <w:noProof/>
          <w:lang w:val="en-GB" w:eastAsia="en-GB"/>
        </w:rPr>
      </w:pPr>
      <w:bookmarkStart w:id="7" w:name="_Ref496860719"/>
      <w:r>
        <w:rPr>
          <w:rFonts w:ascii="Times New Roman" w:eastAsia="Times New Roman" w:hAnsi="Times New Roman" w:cs="Times New Roman"/>
          <w:b/>
          <w:bCs/>
          <w:noProof/>
          <w:lang w:val="en-GB" w:eastAsia="en-GB"/>
        </w:rPr>
        <w:br w:type="page"/>
        <w:t>Table 2</w:t>
      </w:r>
      <w:bookmarkEnd w:id="7"/>
      <w:r>
        <w:rPr>
          <w:rFonts w:ascii="Times New Roman" w:eastAsia="Times New Roman" w:hAnsi="Times New Roman" w:cs="Times New Roman"/>
          <w:b/>
          <w:bCs/>
          <w:noProof/>
          <w:lang w:val="en-GB" w:eastAsia="en-GB"/>
        </w:rPr>
        <w:t>: Impact of achieving the 2030 emission reduction commitments on GDP and sector output.</w:t>
      </w:r>
      <w:r>
        <w:rPr>
          <w:rFonts w:ascii="Times New Roman" w:eastAsia="Times New Roman" w:hAnsi="Times New Roman" w:cs="Times New Roman"/>
          <w:b/>
          <w:bCs/>
          <w:noProof/>
          <w:lang w:val="en-GB" w:eastAsia="en-GB"/>
        </w:rPr>
        <w:t xml:space="preserve"> Source: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rsidR="003D205C">
        <w:trPr>
          <w:trHeight w:val="268"/>
        </w:trPr>
        <w:tc>
          <w:tcPr>
            <w:tcW w:w="3496"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Benchmark</w:t>
            </w:r>
            <w:r>
              <w:rPr>
                <w:rFonts w:ascii="Times New Roman" w:eastAsia="Times New Roman" w:hAnsi="Times New Roman" w:cs="Times New Roman"/>
                <w:noProof/>
                <w:color w:val="000000"/>
                <w:sz w:val="20"/>
                <w:szCs w:val="20"/>
                <w:vertAlign w:val="superscript"/>
                <w:lang w:val="en-GB" w:eastAsia="en-GB"/>
              </w:rPr>
              <w:t>*</w:t>
            </w:r>
            <w:r>
              <w:rPr>
                <w:rFonts w:ascii="Times New Roman" w:eastAsia="Times New Roman" w:hAnsi="Times New Roman" w:cs="Times New Roman"/>
                <w:noProof/>
                <w:color w:val="000000"/>
                <w:sz w:val="20"/>
                <w:szCs w:val="20"/>
                <w:lang w:val="en-GB" w:eastAsia="en-GB"/>
              </w:rPr>
              <w:t xml:space="preserve"> includes</w:t>
            </w:r>
          </w:p>
        </w:tc>
        <w:tc>
          <w:tcPr>
            <w:tcW w:w="833"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1066"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1066"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xml:space="preserve">   Source legislation adopted since 2014?</w:t>
            </w:r>
          </w:p>
        </w:tc>
        <w:tc>
          <w:tcPr>
            <w:tcW w:w="833"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xml:space="preserve">   Climate and energy package</w:t>
            </w:r>
            <w:r>
              <w:rPr>
                <w:rFonts w:ascii="Times New Roman" w:eastAsia="Times New Roman" w:hAnsi="Times New Roman" w:cs="Times New Roman"/>
                <w:noProof/>
                <w:color w:val="000000"/>
                <w:sz w:val="20"/>
                <w:szCs w:val="20"/>
                <w:vertAlign w:val="superscript"/>
                <w:lang w:val="en-GB" w:eastAsia="en-GB"/>
              </w:rPr>
              <w:footnoteReference w:id="32"/>
            </w:r>
            <w:r>
              <w:rPr>
                <w:rFonts w:ascii="Times New Roman" w:eastAsia="Times New Roman" w:hAnsi="Times New Roman" w:cs="Times New Roman"/>
                <w:noProof/>
                <w:color w:val="000000"/>
                <w:sz w:val="20"/>
                <w:szCs w:val="20"/>
                <w:lang w:val="en-GB" w:eastAsia="en-GB"/>
              </w:rPr>
              <w:t>?</w:t>
            </w:r>
          </w:p>
        </w:tc>
        <w:tc>
          <w:tcPr>
            <w:tcW w:w="833"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rsidR="003D205C">
        <w:trPr>
          <w:trHeight w:val="395"/>
        </w:trPr>
        <w:tc>
          <w:tcPr>
            <w:tcW w:w="3496" w:type="dxa"/>
            <w:tcBorders>
              <w:top w:val="nil"/>
              <w:left w:val="nil"/>
              <w:bottom w:val="single" w:sz="4" w:space="0" w:color="auto"/>
              <w:right w:val="nil"/>
            </w:tcBorders>
            <w:shd w:val="clear" w:color="auto" w:fill="auto"/>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Health and crop yield benefits included?</w:t>
            </w:r>
          </w:p>
        </w:tc>
        <w:tc>
          <w:tcPr>
            <w:tcW w:w="833" w:type="dxa"/>
            <w:tcBorders>
              <w:top w:val="nil"/>
              <w:left w:val="nil"/>
              <w:bottom w:val="single" w:sz="4" w:space="0" w:color="auto"/>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single" w:sz="4" w:space="0" w:color="auto"/>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single" w:sz="4" w:space="0" w:color="auto"/>
              <w:right w:val="nil"/>
            </w:tcBorders>
            <w:shd w:val="clear" w:color="auto" w:fill="auto"/>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rsidR="003D205C">
        <w:trPr>
          <w:trHeight w:val="122"/>
        </w:trPr>
        <w:tc>
          <w:tcPr>
            <w:tcW w:w="349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GDP</w:t>
            </w:r>
          </w:p>
        </w:tc>
        <w:tc>
          <w:tcPr>
            <w:tcW w:w="833"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-0.010</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-0.005</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-0.002</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r>
      <w:tr w:rsidR="003D205C">
        <w:trPr>
          <w:trHeight w:val="196"/>
        </w:trPr>
        <w:tc>
          <w:tcPr>
            <w:tcW w:w="349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3D205C" w:rsidRDefault="003D205C">
            <w:pPr>
              <w:spacing w:after="0" w:line="240" w:lineRule="auto"/>
              <w:rPr>
                <w:rFonts w:ascii="Times New Roman" w:eastAsia="Times New Roman" w:hAnsi="Times New Roman" w:cs="Times New Roman"/>
                <w:noProof/>
                <w:color w:val="000000"/>
                <w:sz w:val="20"/>
                <w:szCs w:val="20"/>
                <w:lang w:val="en-GB" w:eastAsia="en-GB"/>
              </w:rPr>
            </w:pP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Agriculture</w:t>
            </w:r>
          </w:p>
        </w:tc>
        <w:tc>
          <w:tcPr>
            <w:tcW w:w="833"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-0.09</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-0.04</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-0.05</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-0.07</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-0.07</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-0.05</w:t>
            </w: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Energy</w:t>
            </w:r>
          </w:p>
        </w:tc>
        <w:tc>
          <w:tcPr>
            <w:tcW w:w="833"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0.03</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Energy intensive industries</w:t>
            </w:r>
          </w:p>
        </w:tc>
        <w:tc>
          <w:tcPr>
            <w:tcW w:w="833"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rsidR="003D205C">
        <w:trPr>
          <w:trHeight w:val="268"/>
        </w:trPr>
        <w:tc>
          <w:tcPr>
            <w:tcW w:w="3496" w:type="dxa"/>
            <w:tcBorders>
              <w:top w:val="nil"/>
              <w:left w:val="nil"/>
              <w:bottom w:val="nil"/>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Other industry</w:t>
            </w:r>
          </w:p>
        </w:tc>
        <w:tc>
          <w:tcPr>
            <w:tcW w:w="833"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0.03</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rsidR="003D205C">
        <w:trPr>
          <w:trHeight w:val="268"/>
        </w:trPr>
        <w:tc>
          <w:tcPr>
            <w:tcW w:w="3496"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Services</w:t>
            </w:r>
          </w:p>
        </w:tc>
        <w:tc>
          <w:tcPr>
            <w:tcW w:w="833"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1066"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1066"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rsidR="003D205C" w:rsidRDefault="0086548F">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r>
    </w:tbl>
    <w:p w:rsidR="003D205C" w:rsidRDefault="0086548F">
      <w:pPr>
        <w:spacing w:before="120" w:after="120" w:line="240" w:lineRule="auto"/>
        <w:jc w:val="both"/>
        <w:rPr>
          <w:rFonts w:ascii="Times New Roman" w:eastAsia="Times New Roman" w:hAnsi="Times New Roman" w:cs="Times New Roman"/>
          <w:noProof/>
          <w:sz w:val="16"/>
          <w:szCs w:val="16"/>
          <w:lang w:val="en-GB" w:eastAsia="en-GB"/>
        </w:rPr>
      </w:pPr>
      <w:r>
        <w:rPr>
          <w:rFonts w:ascii="Times New Roman" w:eastAsia="Times New Roman" w:hAnsi="Times New Roman" w:cs="Times New Roman"/>
          <w:noProof/>
          <w:sz w:val="16"/>
          <w:szCs w:val="16"/>
          <w:vertAlign w:val="superscript"/>
          <w:lang w:val="en-GB" w:eastAsia="en-GB"/>
        </w:rPr>
        <w:t>*</w:t>
      </w:r>
      <w:r>
        <w:rPr>
          <w:rFonts w:ascii="Times New Roman" w:eastAsia="Times New Roman" w:hAnsi="Times New Roman" w:cs="Times New Roman"/>
          <w:noProof/>
          <w:sz w:val="16"/>
          <w:szCs w:val="16"/>
          <w:lang w:val="en-GB" w:eastAsia="en-GB"/>
        </w:rPr>
        <w:t xml:space="preserve"> Results indicate percentage difference with the respective benchmark in 2030.</w:t>
      </w: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bookmarkStart w:id="8" w:name="_Ref497915952"/>
      <w:r>
        <w:rPr>
          <w:rFonts w:ascii="Times New Roman" w:eastAsia="Times New Roman" w:hAnsi="Times New Roman" w:cs="Times New Roman"/>
          <w:i/>
          <w:noProof/>
          <w:sz w:val="24"/>
          <w:szCs w:val="20"/>
          <w:lang w:val="en-GB" w:eastAsia="en-GB"/>
        </w:rPr>
        <w:t xml:space="preserve">EU funding sources </w:t>
      </w:r>
      <w:bookmarkEnd w:id="8"/>
      <w:r>
        <w:rPr>
          <w:rFonts w:ascii="Times New Roman" w:eastAsia="Times New Roman" w:hAnsi="Times New Roman" w:cs="Times New Roman"/>
          <w:i/>
          <w:noProof/>
          <w:sz w:val="24"/>
          <w:szCs w:val="20"/>
          <w:lang w:val="en-GB" w:eastAsia="en-GB"/>
        </w:rPr>
        <w:t>contributing to air quality</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Substantial resources are available from EU funds, including in areas such as transport, energy, agriculture and</w:t>
      </w:r>
      <w:r>
        <w:rPr>
          <w:rFonts w:ascii="Times New Roman" w:eastAsia="Times New Roman" w:hAnsi="Times New Roman" w:cs="Times New Roman"/>
          <w:noProof/>
          <w:sz w:val="24"/>
          <w:szCs w:val="20"/>
          <w:lang w:val="en-GB" w:eastAsia="en-GB"/>
        </w:rPr>
        <w:t xml:space="preserve"> industry where environmental protection requirements should be mainstreamed. Under the European Structural and Investment Funds especially the funding linked to Thematic Objectives 4 Low Carbon Economy (€45bn), 6 Environment Protection &amp; Resource Efficien</w:t>
      </w:r>
      <w:r>
        <w:rPr>
          <w:rFonts w:ascii="Times New Roman" w:eastAsia="Times New Roman" w:hAnsi="Times New Roman" w:cs="Times New Roman"/>
          <w:noProof/>
          <w:sz w:val="24"/>
          <w:szCs w:val="20"/>
          <w:lang w:val="en-GB" w:eastAsia="en-GB"/>
        </w:rPr>
        <w:t>cy (€63bn) and 7 Network Infrastructure in Transport and Energy (€58bn) could be mobilised.</w:t>
      </w:r>
      <w:r>
        <w:rPr>
          <w:rFonts w:ascii="Times New Roman" w:eastAsia="Times New Roman" w:hAnsi="Times New Roman" w:cs="Times New Roman"/>
          <w:noProof/>
          <w:sz w:val="24"/>
          <w:szCs w:val="20"/>
          <w:lang w:val="en-GB" w:eastAsia="en-GB"/>
        </w:rPr>
        <w:footnoteReference w:id="33"/>
      </w:r>
      <w:r>
        <w:rPr>
          <w:rFonts w:ascii="Times New Roman" w:eastAsia="Times New Roman" w:hAnsi="Times New Roman" w:cs="Times New Roman"/>
          <w:noProof/>
          <w:sz w:val="24"/>
          <w:szCs w:val="20"/>
          <w:lang w:val="en-GB" w:eastAsia="en-GB"/>
        </w:rPr>
        <w:t xml:space="preserve">  A recent study</w:t>
      </w:r>
      <w:r>
        <w:rPr>
          <w:rFonts w:ascii="Times New Roman" w:eastAsia="Times New Roman" w:hAnsi="Times New Roman" w:cs="Times New Roman"/>
          <w:noProof/>
          <w:sz w:val="24"/>
          <w:szCs w:val="20"/>
          <w:lang w:val="en-GB" w:eastAsia="en-GB"/>
        </w:rPr>
        <w:footnoteReference w:id="34"/>
      </w:r>
      <w:r>
        <w:rPr>
          <w:rFonts w:ascii="Times New Roman" w:eastAsia="Times New Roman" w:hAnsi="Times New Roman" w:cs="Times New Roman"/>
          <w:noProof/>
          <w:sz w:val="24"/>
          <w:szCs w:val="20"/>
          <w:lang w:val="en-GB" w:eastAsia="en-GB"/>
        </w:rPr>
        <w:t xml:space="preserve"> has provisionally estimated that around €76bn has been allocated to actions contributing purely or partially to air quality in the European Region</w:t>
      </w:r>
      <w:r>
        <w:rPr>
          <w:rFonts w:ascii="Times New Roman" w:eastAsia="Times New Roman" w:hAnsi="Times New Roman" w:cs="Times New Roman"/>
          <w:noProof/>
          <w:sz w:val="24"/>
          <w:szCs w:val="20"/>
          <w:lang w:val="en-GB" w:eastAsia="en-GB"/>
        </w:rPr>
        <w:t>al Development Fund (ERDF), the Cohesion Fund (CF) and the European Agricultural Fund for Rural Development (EAFRD). On a smaller scale, the ERDF also provides funding opportunities for innovation, in line with regional or national smart specialisation str</w:t>
      </w:r>
      <w:r>
        <w:rPr>
          <w:rFonts w:ascii="Times New Roman" w:eastAsia="Times New Roman" w:hAnsi="Times New Roman" w:cs="Times New Roman"/>
          <w:noProof/>
          <w:sz w:val="24"/>
          <w:szCs w:val="20"/>
          <w:lang w:val="en-GB" w:eastAsia="en-GB"/>
        </w:rPr>
        <w:t xml:space="preserve">ategies, some of which may be used for air quality. </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Under the Connecting Europe Facility (CEF), €32bn is made available from the EU’s 2014-2020 budget to co-fund transport and energy projects in the EU Member States, out of which around €9bn, mostly from </w:t>
      </w:r>
      <w:r>
        <w:rPr>
          <w:rFonts w:ascii="Times New Roman" w:eastAsia="Times New Roman" w:hAnsi="Times New Roman" w:cs="Times New Roman"/>
          <w:noProof/>
          <w:sz w:val="24"/>
          <w:szCs w:val="20"/>
          <w:lang w:val="en-GB" w:eastAsia="en-GB"/>
        </w:rPr>
        <w:t>the transport pillar, have been committed for projects which may have some benefit for air quality. For research and innovation, up to €12bn in Horizon 2020 could benefit emission reductions and air quality. The LIFE programme supports pilot and demonstrat</w:t>
      </w:r>
      <w:r>
        <w:rPr>
          <w:rFonts w:ascii="Times New Roman" w:eastAsia="Times New Roman" w:hAnsi="Times New Roman" w:cs="Times New Roman"/>
          <w:noProof/>
          <w:sz w:val="24"/>
          <w:szCs w:val="20"/>
          <w:lang w:val="en-GB" w:eastAsia="en-GB"/>
        </w:rPr>
        <w:t>ion projects as well as Integrated Projects for the implementation of air quality plans. It is estimated that around € 300M will have been available for projects with a direct or indirect air impact in the period 2014-2020. Of the €315bn provided for loans</w:t>
      </w:r>
      <w:r>
        <w:rPr>
          <w:rFonts w:ascii="Times New Roman" w:eastAsia="Times New Roman" w:hAnsi="Times New Roman" w:cs="Times New Roman"/>
          <w:noProof/>
          <w:sz w:val="24"/>
          <w:szCs w:val="20"/>
          <w:lang w:val="en-GB" w:eastAsia="en-GB"/>
        </w:rPr>
        <w:t xml:space="preserve"> and financial instruments under the European Fund for Strategic Investments (EFSI), it is estimated that about 30 % of the uptake (around € 95bn) will have been allocated for projects with an air quality dimension such as energy and transport, and there a</w:t>
      </w:r>
      <w:r>
        <w:rPr>
          <w:rFonts w:ascii="Times New Roman" w:eastAsia="Times New Roman" w:hAnsi="Times New Roman" w:cs="Times New Roman"/>
          <w:noProof/>
          <w:sz w:val="24"/>
          <w:szCs w:val="20"/>
          <w:lang w:val="en-GB" w:eastAsia="en-GB"/>
        </w:rPr>
        <w:t>re also opportunities provided by the European Investment Bank.</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financial provisions of the NECD (Article 7 and 11.1(c)) are designed to encourage better mainstreaming and more effective use of funding for air quality. Member States are encouraged to m</w:t>
      </w:r>
      <w:r>
        <w:rPr>
          <w:rFonts w:ascii="Times New Roman" w:eastAsia="Times New Roman" w:hAnsi="Times New Roman" w:cs="Times New Roman"/>
          <w:noProof/>
          <w:sz w:val="24"/>
          <w:szCs w:val="20"/>
          <w:lang w:val="en-GB" w:eastAsia="en-GB"/>
        </w:rPr>
        <w:t xml:space="preserve">ake maximum use of the available funding.  </w:t>
      </w:r>
    </w:p>
    <w:p w:rsidR="003D205C" w:rsidRDefault="0086548F">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Multiannual Financial Framework for 2021-2027, as proposed by the European Commission</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lang w:val="en-GB"/>
        </w:rPr>
        <w:t>, will continue to support measures to improve air quality, including through the target of 25% of EU expenditure contribu</w:t>
      </w:r>
      <w:r>
        <w:rPr>
          <w:rFonts w:ascii="Times New Roman" w:eastAsia="Times New Roman" w:hAnsi="Times New Roman" w:cs="Times New Roman"/>
          <w:noProof/>
          <w:sz w:val="24"/>
          <w:szCs w:val="20"/>
          <w:lang w:val="en-GB"/>
        </w:rPr>
        <w:t>ting to climate objectives and a strengthening of the LIFE programme.</w:t>
      </w:r>
    </w:p>
    <w:p w:rsidR="003D205C" w:rsidRDefault="0086548F">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Summary</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updated analysis shows that the additional costs of implementing the NECD are substantially lower than expected, partly as a result of changes made by the colegislators,  but</w:t>
      </w:r>
      <w:r>
        <w:rPr>
          <w:rFonts w:ascii="Times New Roman" w:eastAsia="Times New Roman" w:hAnsi="Times New Roman" w:cs="Times New Roman"/>
          <w:noProof/>
          <w:sz w:val="24"/>
          <w:szCs w:val="20"/>
          <w:lang w:val="en-GB" w:eastAsia="en-GB"/>
        </w:rPr>
        <w:t xml:space="preserve"> also because of pieces of EU law adopted in the meantime which serve air quality goals, and the expected positive impact of the future EU 2030 climate and energy package, due for adoption soon.</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However, it is important to avoid complacency.  The analysis </w:t>
      </w:r>
      <w:r>
        <w:rPr>
          <w:rFonts w:ascii="Times New Roman" w:eastAsia="Times New Roman" w:hAnsi="Times New Roman" w:cs="Times New Roman"/>
          <w:noProof/>
          <w:sz w:val="24"/>
          <w:szCs w:val="20"/>
          <w:lang w:val="en-GB" w:eastAsia="en-GB"/>
        </w:rPr>
        <w:t>assumes full implementation and enforcement of legislation which Member States must ensure.  It is also based on assumptions, in particular on activity and pollution control potential, which, despite our best efforts, may deviate from those of the Member S</w:t>
      </w:r>
      <w:r>
        <w:rPr>
          <w:rFonts w:ascii="Times New Roman" w:eastAsia="Times New Roman" w:hAnsi="Times New Roman" w:cs="Times New Roman"/>
          <w:noProof/>
          <w:sz w:val="24"/>
          <w:szCs w:val="20"/>
          <w:lang w:val="en-GB" w:eastAsia="en-GB"/>
        </w:rPr>
        <w:t>tates.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Thus, the analysis provides a broad EU-level perspective and should be treated with appropriate caution when developing national-level policy in the National Air Pollution Control Programmes.</w:t>
      </w:r>
    </w:p>
    <w:p w:rsidR="003D205C" w:rsidRDefault="0086548F">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Prospects for attainment of long-term objectives</w:t>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WHO guid</w:t>
      </w:r>
      <w:r>
        <w:rPr>
          <w:rFonts w:ascii="Times New Roman" w:eastAsia="Times New Roman" w:hAnsi="Times New Roman" w:cs="Times New Roman"/>
          <w:b/>
          <w:noProof/>
          <w:sz w:val="24"/>
          <w:szCs w:val="20"/>
          <w:lang w:val="en-GB" w:eastAsia="en-GB"/>
        </w:rPr>
        <w:t>eline values for PM2,5</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EEA estimates that, in 2015, 82% of the EU population was exposed to concentrations above the WHO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xml:space="preserve"> guideline of 10µg/m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Implementation of the post-2014 policy will improve this substantially.  Figure 4 shows the expected e</w:t>
      </w:r>
      <w:r>
        <w:rPr>
          <w:rFonts w:ascii="Times New Roman" w:eastAsia="Times New Roman" w:hAnsi="Times New Roman" w:cs="Times New Roman"/>
          <w:noProof/>
          <w:sz w:val="24"/>
          <w:szCs w:val="20"/>
          <w:lang w:val="en-GB" w:eastAsia="en-GB"/>
        </w:rPr>
        <w:t>volution between the NECD base year 2005 and the NECD target year 2030, based on the assumption of full implementation of the NECD.  From 88% of the population exposed to concentrations above the WHO guideline value in 2005, the proportion goes to 13% in 2</w:t>
      </w:r>
      <w:r>
        <w:rPr>
          <w:rFonts w:ascii="Times New Roman" w:eastAsia="Times New Roman" w:hAnsi="Times New Roman" w:cs="Times New Roman"/>
          <w:noProof/>
          <w:sz w:val="24"/>
          <w:szCs w:val="20"/>
          <w:lang w:val="en-GB" w:eastAsia="en-GB"/>
        </w:rPr>
        <w:t>030, and exceedances are limited to a few areas in Europe, with most of those within 5µg/m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xml:space="preserve"> of the limit value. Thus by 2030 most urban concentrations would be at or under the WHO guideline value, and while issues would persist at specific locations, these</w:t>
      </w:r>
      <w:r>
        <w:rPr>
          <w:rFonts w:ascii="Times New Roman" w:eastAsia="Times New Roman" w:hAnsi="Times New Roman" w:cs="Times New Roman"/>
          <w:noProof/>
          <w:sz w:val="24"/>
          <w:szCs w:val="20"/>
          <w:lang w:val="en-GB" w:eastAsia="en-GB"/>
        </w:rPr>
        <w:t xml:space="preserve"> could be addressed by local measures not included in the analysis underlying this report.</w:t>
      </w:r>
    </w:p>
    <w:p w:rsidR="003D205C" w:rsidRDefault="0086548F">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4: Distribution of population exposure in the EU to PM</w:t>
      </w:r>
      <w:r>
        <w:rPr>
          <w:rFonts w:ascii="Times New Roman" w:eastAsia="Times New Roman" w:hAnsi="Times New Roman" w:cs="Times New Roman"/>
          <w:b/>
          <w:noProof/>
          <w:vertAlign w:val="subscript"/>
          <w:lang w:val="en-GB" w:eastAsia="en-GB"/>
        </w:rPr>
        <w:t>2,5</w:t>
      </w:r>
      <w:r>
        <w:rPr>
          <w:rFonts w:ascii="Times New Roman" w:eastAsia="Times New Roman" w:hAnsi="Times New Roman" w:cs="Times New Roman"/>
          <w:b/>
          <w:noProof/>
          <w:lang w:val="en-GB" w:eastAsia="en-GB"/>
        </w:rPr>
        <w:t xml:space="preserve"> levels in 2005, and in 2030 assuming full implementation of NECD ERRs and all source legislation</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drawing>
          <wp:inline distT="0" distB="0" distL="0" distR="0">
            <wp:extent cx="4725035" cy="2809037"/>
            <wp:effectExtent l="19050" t="19050" r="18415"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26186" cy="2809721"/>
                    </a:xfrm>
                    <a:prstGeom prst="rect">
                      <a:avLst/>
                    </a:prstGeom>
                    <a:noFill/>
                    <a:ln w="6350" cmpd="sng">
                      <a:solidFill>
                        <a:srgbClr val="000000"/>
                      </a:solidFill>
                      <a:miter lim="800000"/>
                      <a:headEnd/>
                      <a:tailEnd/>
                    </a:ln>
                    <a:effectLst/>
                  </pic:spPr>
                </pic:pic>
              </a:graphicData>
            </a:graphic>
          </wp:inline>
        </w:drawing>
      </w:r>
    </w:p>
    <w:p w:rsidR="003D205C" w:rsidRDefault="0086548F">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Exceedance of critical loads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most significant environmental impact of air quality is eutrophication of land and water ecosystems.  This is defined in terms of exceedance of ‘critical loads’ for deposition – the maximum deposited pollution that the ecos</w:t>
      </w:r>
      <w:r>
        <w:rPr>
          <w:rFonts w:ascii="Times New Roman" w:eastAsia="Times New Roman" w:hAnsi="Times New Roman" w:cs="Times New Roman"/>
          <w:noProof/>
          <w:sz w:val="24"/>
          <w:szCs w:val="20"/>
          <w:lang w:val="en-GB" w:eastAsia="en-GB"/>
        </w:rPr>
        <w:t>ystem can bear without adverse ecological impacts.  Figure 5 below shows the 27% reduction in ecosystem areas affected by eutrophication between 2005 and 2030 as a result of the implementation of the NECD (see Table 1).</w:t>
      </w:r>
    </w:p>
    <w:p w:rsidR="003D205C" w:rsidRDefault="0086548F">
      <w:pPr>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5: Percentage of ecosystem ar</w:t>
      </w:r>
      <w:r>
        <w:rPr>
          <w:rFonts w:ascii="Times New Roman" w:eastAsia="Times New Roman" w:hAnsi="Times New Roman" w:cs="Times New Roman"/>
          <w:b/>
          <w:noProof/>
          <w:lang w:val="en-GB" w:eastAsia="en-GB"/>
        </w:rPr>
        <w:t>eas with nitrogen deposition above critical loads for eutrophication (2005 left, vs full implementation of NECD 2030, right; based on a 2012 data set)</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noProof/>
          <w:lang w:val="en-GB" w:eastAsia="en-GB"/>
        </w:rPr>
        <w:drawing>
          <wp:inline distT="0" distB="0" distL="0" distR="0">
            <wp:extent cx="2618841" cy="2266640"/>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a:extLst>
                        <a:ext uri="{28A0092B-C50C-407E-A947-70E740481C1C}">
                          <a14:useLocalDpi xmlns:a14="http://schemas.microsoft.com/office/drawing/2010/main" val="0"/>
                        </a:ext>
                      </a:extLst>
                    </a:blip>
                    <a:srcRect r="38478"/>
                    <a:stretch/>
                  </pic:blipFill>
                  <pic:spPr bwMode="auto">
                    <a:xfrm>
                      <a:off x="0" y="0"/>
                      <a:ext cx="2624965" cy="227194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extent cx="2596515" cy="2247317"/>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r="37762"/>
                    <a:stretch/>
                  </pic:blipFill>
                  <pic:spPr bwMode="auto">
                    <a:xfrm>
                      <a:off x="0" y="0"/>
                      <a:ext cx="2606097" cy="225561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46"/>
        <w:gridCol w:w="1038"/>
      </w:tblGrid>
      <w:tr w:rsidR="003D205C">
        <w:trPr>
          <w:trHeight w:val="267"/>
        </w:trPr>
        <w:tc>
          <w:tcPr>
            <w:tcW w:w="346" w:type="dxa"/>
            <w:shd w:val="clear" w:color="auto" w:fill="DBF1F9"/>
          </w:tcPr>
          <w:p w:rsidR="003D205C" w:rsidRDefault="003D205C">
            <w:pPr>
              <w:rPr>
                <w:noProof/>
                <w:color w:val="DBE5F1"/>
                <w:sz w:val="16"/>
                <w:szCs w:val="16"/>
              </w:rPr>
            </w:pPr>
          </w:p>
        </w:tc>
        <w:tc>
          <w:tcPr>
            <w:tcW w:w="1038" w:type="dxa"/>
          </w:tcPr>
          <w:p w:rsidR="003D205C" w:rsidRDefault="0086548F">
            <w:pPr>
              <w:rPr>
                <w:noProof/>
                <w:sz w:val="16"/>
                <w:szCs w:val="16"/>
              </w:rPr>
            </w:pPr>
            <w:r>
              <w:rPr>
                <w:noProof/>
                <w:sz w:val="16"/>
                <w:szCs w:val="16"/>
              </w:rPr>
              <w:t>0 .. 5  perc</w:t>
            </w:r>
          </w:p>
        </w:tc>
      </w:tr>
      <w:tr w:rsidR="003D205C">
        <w:trPr>
          <w:trHeight w:val="252"/>
        </w:trPr>
        <w:tc>
          <w:tcPr>
            <w:tcW w:w="346" w:type="dxa"/>
            <w:shd w:val="clear" w:color="auto" w:fill="B8CCE4"/>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5 .. 10</w:t>
            </w:r>
          </w:p>
        </w:tc>
      </w:tr>
      <w:tr w:rsidR="003D205C">
        <w:trPr>
          <w:trHeight w:val="267"/>
        </w:trPr>
        <w:tc>
          <w:tcPr>
            <w:tcW w:w="346" w:type="dxa"/>
            <w:shd w:val="clear" w:color="auto" w:fill="95B1D7"/>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10 .. 30</w:t>
            </w:r>
          </w:p>
        </w:tc>
      </w:tr>
      <w:tr w:rsidR="003D205C">
        <w:trPr>
          <w:trHeight w:val="252"/>
        </w:trPr>
        <w:tc>
          <w:tcPr>
            <w:tcW w:w="346" w:type="dxa"/>
            <w:shd w:val="clear" w:color="auto" w:fill="366090"/>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30 .. 70</w:t>
            </w:r>
          </w:p>
        </w:tc>
      </w:tr>
      <w:tr w:rsidR="003D205C">
        <w:trPr>
          <w:trHeight w:val="267"/>
        </w:trPr>
        <w:tc>
          <w:tcPr>
            <w:tcW w:w="346" w:type="dxa"/>
            <w:shd w:val="clear" w:color="auto" w:fill="254673"/>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70 .. 90</w:t>
            </w:r>
          </w:p>
        </w:tc>
      </w:tr>
      <w:tr w:rsidR="003D205C">
        <w:trPr>
          <w:trHeight w:val="252"/>
        </w:trPr>
        <w:tc>
          <w:tcPr>
            <w:tcW w:w="346" w:type="dxa"/>
            <w:shd w:val="clear" w:color="auto" w:fill="17365D"/>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90 .. 95</w:t>
            </w:r>
          </w:p>
        </w:tc>
      </w:tr>
      <w:tr w:rsidR="003D205C">
        <w:trPr>
          <w:trHeight w:val="267"/>
        </w:trPr>
        <w:tc>
          <w:tcPr>
            <w:tcW w:w="346" w:type="dxa"/>
            <w:shd w:val="clear" w:color="auto" w:fill="0F243E"/>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95 ..</w:t>
            </w:r>
          </w:p>
        </w:tc>
      </w:tr>
      <w:tr w:rsidR="003D205C">
        <w:trPr>
          <w:trHeight w:val="56"/>
        </w:trPr>
        <w:tc>
          <w:tcPr>
            <w:tcW w:w="346" w:type="dxa"/>
            <w:shd w:val="clear" w:color="auto" w:fill="B4B4B4"/>
          </w:tcPr>
          <w:p w:rsidR="003D205C" w:rsidRDefault="003D205C">
            <w:pPr>
              <w:rPr>
                <w:noProof/>
                <w:sz w:val="16"/>
                <w:szCs w:val="16"/>
              </w:rPr>
            </w:pPr>
          </w:p>
        </w:tc>
        <w:tc>
          <w:tcPr>
            <w:tcW w:w="1038" w:type="dxa"/>
          </w:tcPr>
          <w:p w:rsidR="003D205C" w:rsidRDefault="0086548F">
            <w:pPr>
              <w:rPr>
                <w:noProof/>
                <w:sz w:val="16"/>
                <w:szCs w:val="16"/>
              </w:rPr>
            </w:pPr>
            <w:r>
              <w:rPr>
                <w:noProof/>
                <w:sz w:val="16"/>
                <w:szCs w:val="16"/>
              </w:rPr>
              <w:t>n2k missing</w:t>
            </w:r>
          </w:p>
        </w:tc>
      </w:tr>
    </w:tbl>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Excess </w:t>
      </w:r>
      <w:r>
        <w:rPr>
          <w:rFonts w:ascii="Times New Roman" w:eastAsia="Times New Roman" w:hAnsi="Times New Roman" w:cs="Times New Roman"/>
          <w:noProof/>
          <w:sz w:val="24"/>
          <w:szCs w:val="20"/>
          <w:lang w:val="en-GB" w:eastAsia="en-GB"/>
        </w:rPr>
        <w:t>nitrogen deposition is caused by deposition of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xml:space="preserve"> and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dominates, and its relative importance by 2030 will grow further due to the relatively small reduction required in the NECD compared with NOx (19% versus 66%).</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At the same time, there is furth</w:t>
      </w:r>
      <w:r>
        <w:rPr>
          <w:rFonts w:ascii="Times New Roman" w:eastAsia="Times New Roman" w:hAnsi="Times New Roman" w:cs="Times New Roman"/>
          <w:noProof/>
          <w:sz w:val="24"/>
          <w:szCs w:val="20"/>
          <w:lang w:val="en-GB" w:eastAsia="en-GB"/>
        </w:rPr>
        <w:t>er reduction potential for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Full implementation of currently available technical measures would reduce excess deposition by more than 75%. While this would not meet critical loads everywhere, further improvements would be possible that have not been ta</w:t>
      </w:r>
      <w:r>
        <w:rPr>
          <w:rFonts w:ascii="Times New Roman" w:eastAsia="Times New Roman" w:hAnsi="Times New Roman" w:cs="Times New Roman"/>
          <w:noProof/>
          <w:sz w:val="24"/>
          <w:szCs w:val="20"/>
          <w:lang w:val="en-GB" w:eastAsia="en-GB"/>
        </w:rPr>
        <w:t>ken into account in the modelling underlying this report, in particular control of emissions from large point sources close to sensitive ecosystems, and structural shifts in production driven by wider social concerns for a healthy diet.</w:t>
      </w:r>
    </w:p>
    <w:p w:rsidR="003D205C" w:rsidRDefault="0086548F">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Short-lived climate</w:t>
      </w:r>
      <w:r>
        <w:rPr>
          <w:rFonts w:ascii="Times New Roman" w:eastAsia="Times New Roman" w:hAnsi="Times New Roman" w:cs="Times New Roman"/>
          <w:b/>
          <w:smallCaps/>
          <w:noProof/>
          <w:sz w:val="24"/>
          <w:szCs w:val="20"/>
          <w:lang w:val="en-GB" w:eastAsia="en-GB"/>
        </w:rPr>
        <w:t xml:space="preserve"> pollutants</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Black carbon, methane and ozone are of concern both for air quality and for climate.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NECD requires Member States to prioritise measures that also reduce black carbon when addressing their PM</w:t>
      </w:r>
      <w:r>
        <w:rPr>
          <w:rFonts w:ascii="Times New Roman" w:eastAsia="Times New Roman" w:hAnsi="Times New Roman" w:cs="Times New Roman"/>
          <w:noProof/>
          <w:sz w:val="24"/>
          <w:szCs w:val="20"/>
          <w:vertAlign w:val="subscript"/>
          <w:lang w:val="en-GB" w:eastAsia="en-GB"/>
        </w:rPr>
        <w:t xml:space="preserve">2,5 </w:t>
      </w:r>
      <w:r>
        <w:rPr>
          <w:rFonts w:ascii="Times New Roman" w:eastAsia="Times New Roman" w:hAnsi="Times New Roman" w:cs="Times New Roman"/>
          <w:noProof/>
          <w:sz w:val="24"/>
          <w:szCs w:val="20"/>
          <w:lang w:val="en-GB" w:eastAsia="en-GB"/>
        </w:rPr>
        <w:t>reduction commitments.  The measures to reduce</w:t>
      </w:r>
      <w:r>
        <w:rPr>
          <w:rFonts w:ascii="Times New Roman" w:eastAsia="Times New Roman" w:hAnsi="Times New Roman" w:cs="Times New Roman"/>
          <w:noProof/>
          <w:sz w:val="24"/>
          <w:szCs w:val="20"/>
          <w:lang w:val="en-GB" w:eastAsia="en-GB"/>
        </w:rPr>
        <w:t xml:space="preserve"> PM</w:t>
      </w:r>
      <w:r>
        <w:rPr>
          <w:rFonts w:ascii="Times New Roman" w:eastAsia="Times New Roman" w:hAnsi="Times New Roman" w:cs="Times New Roman"/>
          <w:noProof/>
          <w:sz w:val="24"/>
          <w:szCs w:val="20"/>
          <w:vertAlign w:val="subscript"/>
          <w:lang w:val="en-GB" w:eastAsia="en-GB"/>
        </w:rPr>
        <w:t xml:space="preserve">2,5 </w:t>
      </w:r>
      <w:r>
        <w:rPr>
          <w:rFonts w:ascii="Times New Roman" w:eastAsia="Times New Roman" w:hAnsi="Times New Roman" w:cs="Times New Roman"/>
          <w:noProof/>
          <w:sz w:val="24"/>
          <w:szCs w:val="20"/>
          <w:lang w:val="en-GB" w:eastAsia="en-GB"/>
        </w:rPr>
        <w:t>(for example, in domestic solid fuel combustion, particulate pollution from diesel cars, agricultural field burning and energy generation) will also deliver black carbon reductions of 72% across the EU by 2030.</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Methane and ozone are closely connecte</w:t>
      </w:r>
      <w:r>
        <w:rPr>
          <w:rFonts w:ascii="Times New Roman" w:eastAsia="Times New Roman" w:hAnsi="Times New Roman" w:cs="Times New Roman"/>
          <w:noProof/>
          <w:sz w:val="24"/>
          <w:szCs w:val="20"/>
          <w:lang w:val="en-GB" w:eastAsia="en-GB"/>
        </w:rPr>
        <w:t>d, as methane is a major contributor to background ozone concentrations.  Because of methane's long lifetime, it is transported long distances over the northern hemisphere, with emissions in the USA, China and India affecting EU concentrations and vice ver</w:t>
      </w:r>
      <w:r>
        <w:rPr>
          <w:rFonts w:ascii="Times New Roman" w:eastAsia="Times New Roman" w:hAnsi="Times New Roman" w:cs="Times New Roman"/>
          <w:noProof/>
          <w:sz w:val="24"/>
          <w:szCs w:val="20"/>
          <w:lang w:val="en-GB" w:eastAsia="en-GB"/>
        </w:rPr>
        <w:t>sa. The Commission's Joint Research Centre will present later in the year a technical report on methane emissions and their contribution to ozone.  Based on this work, the Commission will, in 2019, assess the potential for reductions across the northern he</w:t>
      </w:r>
      <w:r>
        <w:rPr>
          <w:rFonts w:ascii="Times New Roman" w:eastAsia="Times New Roman" w:hAnsi="Times New Roman" w:cs="Times New Roman"/>
          <w:noProof/>
          <w:sz w:val="24"/>
          <w:szCs w:val="20"/>
          <w:lang w:val="en-GB" w:eastAsia="en-GB"/>
        </w:rPr>
        <w:t>misphere and their impacts on concentrations, with a view to identifying appropriate methane reduction objectives in the context of a future hemispheric approach, in cooperation with the UNECE Convention on Long Range and Transboundary Air Pollution, the C</w:t>
      </w:r>
      <w:r>
        <w:rPr>
          <w:rFonts w:ascii="Times New Roman" w:eastAsia="Times New Roman" w:hAnsi="Times New Roman" w:cs="Times New Roman"/>
          <w:noProof/>
          <w:sz w:val="24"/>
          <w:szCs w:val="20"/>
          <w:lang w:val="en-GB" w:eastAsia="en-GB"/>
        </w:rPr>
        <w:t>limate and Clean Air Coalition and the Global Methane Initiative, as appropriate.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Ozone concentrations would be exacerbated by temperature increases resulting from climate change, and this should be considered when assessing and mitigating air pollution in</w:t>
      </w:r>
      <w:r>
        <w:rPr>
          <w:rFonts w:ascii="Times New Roman" w:eastAsia="Times New Roman" w:hAnsi="Times New Roman" w:cs="Times New Roman"/>
          <w:noProof/>
          <w:sz w:val="24"/>
          <w:szCs w:val="20"/>
          <w:lang w:val="en-GB" w:eastAsia="en-GB"/>
        </w:rPr>
        <w:t xml:space="preserve"> the longer term.</w:t>
      </w:r>
    </w:p>
    <w:p w:rsidR="003D205C" w:rsidRDefault="0086548F">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bookmarkStart w:id="9" w:name="_Toc359596090"/>
      <w:r>
        <w:rPr>
          <w:rFonts w:ascii="Times New Roman" w:eastAsia="Times New Roman" w:hAnsi="Times New Roman" w:cs="Times New Roman"/>
          <w:b/>
          <w:smallCaps/>
          <w:noProof/>
          <w:sz w:val="24"/>
          <w:szCs w:val="20"/>
          <w:lang w:val="en-GB" w:eastAsia="en-GB"/>
        </w:rPr>
        <w:t>The international dimension</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adoption of the NECD allowed the EU to ratify, in August 2017, the 2012 revision of the Gothenburg Protocol.  Ratifications by Member States can bring the revised Protocol into force and while eight Member </w:t>
      </w:r>
      <w:r>
        <w:rPr>
          <w:rFonts w:ascii="Times New Roman" w:eastAsia="Times New Roman" w:hAnsi="Times New Roman" w:cs="Times New Roman"/>
          <w:noProof/>
          <w:sz w:val="24"/>
          <w:szCs w:val="20"/>
          <w:lang w:val="en-GB" w:eastAsia="en-GB"/>
        </w:rPr>
        <w:t>States have already ratified,</w:t>
      </w:r>
      <w:r>
        <w:rPr>
          <w:rFonts w:ascii="Times New Roman" w:eastAsia="Times New Roman" w:hAnsi="Times New Roman" w:cs="Times New Roman"/>
          <w:noProof/>
          <w:sz w:val="24"/>
          <w:szCs w:val="20"/>
          <w:vertAlign w:val="superscript"/>
          <w:lang w:val="en-GB" w:eastAsia="en-GB"/>
        </w:rPr>
        <w:footnoteReference w:id="36"/>
      </w:r>
      <w:r>
        <w:rPr>
          <w:rFonts w:ascii="Times New Roman" w:eastAsia="Times New Roman" w:hAnsi="Times New Roman" w:cs="Times New Roman"/>
          <w:noProof/>
          <w:sz w:val="24"/>
          <w:szCs w:val="20"/>
          <w:lang w:val="en-GB" w:eastAsia="en-GB"/>
        </w:rPr>
        <w:t xml:space="preserve"> the Commission encourages all others to do so as soon as possible.</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EU's main objective remains to stimulate wider ratification of the Protocol by non-EU countries, in particular the Eastern European, Caucasian and Central</w:t>
      </w:r>
      <w:r>
        <w:rPr>
          <w:rFonts w:ascii="Times New Roman" w:eastAsia="Times New Roman" w:hAnsi="Times New Roman" w:cs="Times New Roman"/>
          <w:noProof/>
          <w:sz w:val="24"/>
          <w:szCs w:val="20"/>
          <w:lang w:val="en-GB" w:eastAsia="en-GB"/>
        </w:rPr>
        <w:t xml:space="preserve"> Asian states (EECCA). Flexible provisions for EECCA states were built into the revised Protocol to encourage ratification, but these are only usable if the Protocol enters into force before 2020 – another important reason for Member States to ratify quick</w:t>
      </w:r>
      <w:r>
        <w:rPr>
          <w:rFonts w:ascii="Times New Roman" w:eastAsia="Times New Roman" w:hAnsi="Times New Roman" w:cs="Times New Roman"/>
          <w:noProof/>
          <w:sz w:val="24"/>
          <w:szCs w:val="20"/>
          <w:lang w:val="en-GB" w:eastAsia="en-GB"/>
        </w:rPr>
        <w:t>ly.</w:t>
      </w: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Commission will continue to develop its own work to assist neighbouring countries with air policy, in particular through the Instrument for Pre-Accession Assistance (IPA) and the European Neighbourhood Instrument (ENI). Sharing experience beyond th</w:t>
      </w:r>
      <w:r>
        <w:rPr>
          <w:rFonts w:ascii="Times New Roman" w:eastAsia="Times New Roman" w:hAnsi="Times New Roman" w:cs="Times New Roman"/>
          <w:noProof/>
          <w:sz w:val="24"/>
          <w:szCs w:val="20"/>
          <w:lang w:val="en-GB" w:eastAsia="en-GB"/>
        </w:rPr>
        <w:t>e EU and UNECE is also a priority, and the EU pushed successfully for wider regional and inter-regional cooperation through the 3rd United Nations Environment Assembly (December 2017) and will continue to do so bilaterally. The Commission is also funding a</w:t>
      </w:r>
      <w:r>
        <w:rPr>
          <w:rFonts w:ascii="Times New Roman" w:eastAsia="Times New Roman" w:hAnsi="Times New Roman" w:cs="Times New Roman"/>
          <w:noProof/>
          <w:sz w:val="24"/>
          <w:szCs w:val="20"/>
          <w:lang w:val="en-GB" w:eastAsia="en-GB"/>
        </w:rPr>
        <w:t>ssessment by the Arctic Monitoring and Assessment Programme (AMAP) of the reduction potential for black carbon emissions affecting the region.</w:t>
      </w:r>
    </w:p>
    <w:p w:rsidR="003D205C" w:rsidRDefault="0086548F">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Conclusion</w:t>
      </w:r>
      <w:bookmarkEnd w:id="9"/>
      <w:r>
        <w:rPr>
          <w:rFonts w:ascii="Times New Roman" w:eastAsia="Times New Roman" w:hAnsi="Times New Roman" w:cs="Times New Roman"/>
          <w:b/>
          <w:smallCaps/>
          <w:noProof/>
          <w:sz w:val="24"/>
          <w:szCs w:val="20"/>
          <w:lang w:val="en-GB" w:eastAsia="en-GB"/>
        </w:rPr>
        <w:t xml:space="preserve">s </w:t>
      </w:r>
    </w:p>
    <w:p w:rsidR="003D205C" w:rsidRDefault="0086548F">
      <w:pPr>
        <w:pStyle w:val="ListParagraph"/>
        <w:numPr>
          <w:ilvl w:val="0"/>
          <w:numId w:val="4"/>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It is positive to note that, taken together, </w:t>
      </w:r>
      <w:r>
        <w:rPr>
          <w:rFonts w:ascii="Times New Roman" w:eastAsia="Times New Roman" w:hAnsi="Times New Roman" w:cs="Times New Roman"/>
          <w:b/>
          <w:noProof/>
          <w:sz w:val="24"/>
          <w:szCs w:val="20"/>
          <w:lang w:val="en-GB" w:eastAsia="en-GB"/>
        </w:rPr>
        <w:t>the package of measures adopted by the co-legislators s</w:t>
      </w:r>
      <w:r>
        <w:rPr>
          <w:rFonts w:ascii="Times New Roman" w:eastAsia="Times New Roman" w:hAnsi="Times New Roman" w:cs="Times New Roman"/>
          <w:b/>
          <w:noProof/>
          <w:sz w:val="24"/>
          <w:szCs w:val="20"/>
          <w:lang w:val="en-GB" w:eastAsia="en-GB"/>
        </w:rPr>
        <w:t>ince the 2013 Clean Air Programme</w:t>
      </w:r>
      <w:r>
        <w:rPr>
          <w:rFonts w:ascii="Times New Roman" w:eastAsia="Times New Roman" w:hAnsi="Times New Roman" w:cs="Times New Roman"/>
          <w:noProof/>
          <w:sz w:val="24"/>
          <w:szCs w:val="20"/>
          <w:lang w:val="en-GB" w:eastAsia="en-GB"/>
        </w:rPr>
        <w:t xml:space="preserve"> – that is, not only the NECD but also the MCPD, the revised Non-Road Mobile Machinery Regulation and the implementing measures for the IED and Ecodesign Directive – </w:t>
      </w:r>
      <w:r>
        <w:rPr>
          <w:rFonts w:ascii="Times New Roman" w:eastAsia="Times New Roman" w:hAnsi="Times New Roman" w:cs="Times New Roman"/>
          <w:b/>
          <w:noProof/>
          <w:sz w:val="24"/>
          <w:szCs w:val="20"/>
          <w:lang w:val="en-GB" w:eastAsia="en-GB"/>
        </w:rPr>
        <w:t>are expected by 2030 to more than achieve the health impa</w:t>
      </w:r>
      <w:r>
        <w:rPr>
          <w:rFonts w:ascii="Times New Roman" w:eastAsia="Times New Roman" w:hAnsi="Times New Roman" w:cs="Times New Roman"/>
          <w:b/>
          <w:noProof/>
          <w:sz w:val="24"/>
          <w:szCs w:val="20"/>
          <w:lang w:val="en-GB" w:eastAsia="en-GB"/>
        </w:rPr>
        <w:t>ct reduction of 52% set out in the Programme, and deliver PM</w:t>
      </w:r>
      <w:r>
        <w:rPr>
          <w:rFonts w:ascii="Times New Roman" w:eastAsia="Times New Roman" w:hAnsi="Times New Roman" w:cs="Times New Roman"/>
          <w:b/>
          <w:noProof/>
          <w:sz w:val="24"/>
          <w:szCs w:val="20"/>
          <w:vertAlign w:val="subscript"/>
          <w:lang w:val="en-GB" w:eastAsia="en-GB"/>
        </w:rPr>
        <w:t xml:space="preserve">2,5 </w:t>
      </w:r>
      <w:r>
        <w:rPr>
          <w:rFonts w:ascii="Times New Roman" w:eastAsia="Times New Roman" w:hAnsi="Times New Roman" w:cs="Times New Roman"/>
          <w:b/>
          <w:noProof/>
          <w:sz w:val="24"/>
          <w:szCs w:val="20"/>
          <w:lang w:val="en-GB" w:eastAsia="en-GB"/>
        </w:rPr>
        <w:t>concentrations in most of the EU which are below the WHO guideline value</w:t>
      </w:r>
      <w:r>
        <w:rPr>
          <w:rFonts w:ascii="Times New Roman" w:eastAsia="Times New Roman" w:hAnsi="Times New Roman" w:cs="Times New Roman"/>
          <w:noProof/>
          <w:sz w:val="24"/>
          <w:szCs w:val="20"/>
          <w:lang w:val="en-GB" w:eastAsia="en-GB"/>
        </w:rPr>
        <w:t>.</w:t>
      </w:r>
    </w:p>
    <w:p w:rsidR="003D205C" w:rsidRDefault="003D205C">
      <w:pPr>
        <w:pStyle w:val="ListParagraph"/>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There is nonetheless an </w:t>
      </w:r>
      <w:r>
        <w:rPr>
          <w:rFonts w:ascii="Times New Roman" w:eastAsia="Times New Roman" w:hAnsi="Times New Roman" w:cs="Times New Roman"/>
          <w:b/>
          <w:noProof/>
          <w:sz w:val="24"/>
          <w:szCs w:val="20"/>
          <w:lang w:val="en-GB" w:eastAsia="en-GB"/>
        </w:rPr>
        <w:t>urgent short-term need to take decisive action to achieve the objectives of the Ambient Air Q</w:t>
      </w:r>
      <w:r>
        <w:rPr>
          <w:rFonts w:ascii="Times New Roman" w:eastAsia="Times New Roman" w:hAnsi="Times New Roman" w:cs="Times New Roman"/>
          <w:b/>
          <w:noProof/>
          <w:sz w:val="24"/>
          <w:szCs w:val="20"/>
          <w:lang w:val="en-GB" w:eastAsia="en-GB"/>
        </w:rPr>
        <w:t>uality Directives</w:t>
      </w:r>
      <w:r>
        <w:rPr>
          <w:rFonts w:ascii="Times New Roman" w:eastAsia="Times New Roman" w:hAnsi="Times New Roman" w:cs="Times New Roman"/>
          <w:noProof/>
          <w:sz w:val="24"/>
          <w:szCs w:val="20"/>
          <w:lang w:val="en-GB" w:eastAsia="en-GB"/>
        </w:rPr>
        <w:t>, at all governance levels (national, regional, local) and with the full involvement of market actors, as highlighted in the recent Communication “A Europe that protects: Clean air for all”</w:t>
      </w:r>
      <w:r>
        <w:rPr>
          <w:rFonts w:ascii="Times New Roman" w:eastAsia="Times New Roman" w:hAnsi="Times New Roman" w:cs="Times New Roman"/>
          <w:noProof/>
          <w:sz w:val="24"/>
          <w:szCs w:val="20"/>
          <w:lang w:val="en-GB" w:eastAsia="en-GB"/>
        </w:rPr>
        <w:footnoteReference w:id="37"/>
      </w:r>
      <w:r>
        <w:rPr>
          <w:rFonts w:ascii="Times New Roman" w:eastAsia="Times New Roman" w:hAnsi="Times New Roman" w:cs="Times New Roman"/>
          <w:noProof/>
          <w:sz w:val="24"/>
          <w:szCs w:val="20"/>
          <w:lang w:val="en-GB" w:eastAsia="en-GB"/>
        </w:rPr>
        <w:t xml:space="preserve">.  Even in the longer term, </w:t>
      </w:r>
      <w:r>
        <w:rPr>
          <w:rFonts w:ascii="Times New Roman" w:eastAsia="Times New Roman" w:hAnsi="Times New Roman" w:cs="Times New Roman"/>
          <w:b/>
          <w:noProof/>
          <w:sz w:val="24"/>
          <w:szCs w:val="20"/>
          <w:lang w:val="en-GB" w:eastAsia="en-GB"/>
        </w:rPr>
        <w:t xml:space="preserve">complementary action </w:t>
      </w:r>
      <w:r>
        <w:rPr>
          <w:rFonts w:ascii="Times New Roman" w:eastAsia="Times New Roman" w:hAnsi="Times New Roman" w:cs="Times New Roman"/>
          <w:b/>
          <w:noProof/>
          <w:sz w:val="24"/>
          <w:szCs w:val="20"/>
          <w:lang w:val="en-GB" w:eastAsia="en-GB"/>
        </w:rPr>
        <w:t>at all these levels will be required to ensure that the EU's long-term objectives are met everywhere in Europe</w:t>
      </w:r>
    </w:p>
    <w:p w:rsidR="003D205C" w:rsidRDefault="003D205C">
      <w:pPr>
        <w:pStyle w:val="ListParagraph"/>
        <w:rPr>
          <w:rFonts w:ascii="Times New Roman" w:eastAsia="Times New Roman" w:hAnsi="Times New Roman" w:cs="Times New Roman"/>
          <w:noProof/>
          <w:sz w:val="24"/>
          <w:szCs w:val="20"/>
          <w:lang w:val="en-GB" w:eastAsia="en-GB"/>
        </w:rPr>
      </w:pPr>
    </w:p>
    <w:p w:rsidR="003D205C" w:rsidRDefault="0086548F">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impact in 2030 depends on </w:t>
      </w:r>
      <w:r>
        <w:rPr>
          <w:rFonts w:ascii="Times New Roman" w:eastAsia="Times New Roman" w:hAnsi="Times New Roman" w:cs="Times New Roman"/>
          <w:b/>
          <w:noProof/>
          <w:sz w:val="24"/>
          <w:szCs w:val="20"/>
          <w:lang w:val="en-GB" w:eastAsia="en-GB"/>
        </w:rPr>
        <w:t xml:space="preserve">full implementation by the Member States of all the measures, and in particular of robust National Air Pollution </w:t>
      </w:r>
      <w:r>
        <w:rPr>
          <w:rFonts w:ascii="Times New Roman" w:eastAsia="Times New Roman" w:hAnsi="Times New Roman" w:cs="Times New Roman"/>
          <w:b/>
          <w:noProof/>
          <w:sz w:val="24"/>
          <w:szCs w:val="20"/>
          <w:lang w:val="en-GB" w:eastAsia="en-GB"/>
        </w:rPr>
        <w:t>Control Programmes to deliver the NECD emission reduction commitments</w:t>
      </w:r>
      <w:r>
        <w:rPr>
          <w:rFonts w:ascii="Times New Roman" w:eastAsia="Times New Roman" w:hAnsi="Times New Roman" w:cs="Times New Roman"/>
          <w:noProof/>
          <w:sz w:val="24"/>
          <w:szCs w:val="20"/>
          <w:lang w:val="en-GB" w:eastAsia="en-GB"/>
        </w:rPr>
        <w:t>. It requires effective coordination of these Programmes with the implementation of other policies, inter alia the Energy Union climate/energy measures, road transport policy and the upco</w:t>
      </w:r>
      <w:r>
        <w:rPr>
          <w:rFonts w:ascii="Times New Roman" w:eastAsia="Times New Roman" w:hAnsi="Times New Roman" w:cs="Times New Roman"/>
          <w:noProof/>
          <w:sz w:val="24"/>
          <w:szCs w:val="20"/>
          <w:lang w:val="en-GB" w:eastAsia="en-GB"/>
        </w:rPr>
        <w:t xml:space="preserve">ming reform of the Common Agricultural Policy.  </w:t>
      </w:r>
      <w:r>
        <w:rPr>
          <w:rFonts w:ascii="Times New Roman" w:eastAsia="Times New Roman" w:hAnsi="Times New Roman" w:cs="Times New Roman"/>
          <w:b/>
          <w:noProof/>
          <w:sz w:val="24"/>
          <w:szCs w:val="20"/>
          <w:lang w:val="en-GB" w:eastAsia="en-GB"/>
        </w:rPr>
        <w:t>Uptake of the substantial EU financial support available will also greatly facilitate implementation</w:t>
      </w:r>
      <w:r>
        <w:rPr>
          <w:rFonts w:ascii="Times New Roman" w:eastAsia="Times New Roman" w:hAnsi="Times New Roman" w:cs="Times New Roman"/>
          <w:noProof/>
          <w:sz w:val="24"/>
          <w:szCs w:val="20"/>
          <w:lang w:val="en-GB" w:eastAsia="en-GB"/>
        </w:rPr>
        <w:t>.</w:t>
      </w:r>
    </w:p>
    <w:p w:rsidR="003D205C" w:rsidRDefault="003D205C">
      <w:pPr>
        <w:pStyle w:val="ListParagraph"/>
        <w:rPr>
          <w:rFonts w:ascii="Times New Roman" w:eastAsia="Times New Roman" w:hAnsi="Times New Roman" w:cs="Times New Roman"/>
          <w:noProof/>
          <w:sz w:val="24"/>
          <w:szCs w:val="20"/>
          <w:lang w:val="en-GB" w:eastAsia="en-GB"/>
        </w:rPr>
      </w:pPr>
    </w:p>
    <w:p w:rsidR="003D205C" w:rsidRDefault="0086548F">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While, for most sectors and pollutants, source legislation supports NECD implementation substantially, </w:t>
      </w:r>
      <w:r>
        <w:rPr>
          <w:rFonts w:ascii="Times New Roman" w:eastAsia="Times New Roman" w:hAnsi="Times New Roman" w:cs="Times New Roman"/>
          <w:b/>
          <w:noProof/>
          <w:sz w:val="24"/>
          <w:szCs w:val="20"/>
          <w:lang w:val="en-GB" w:eastAsia="en-GB"/>
        </w:rPr>
        <w:t>ag</w:t>
      </w:r>
      <w:r>
        <w:rPr>
          <w:rFonts w:ascii="Times New Roman" w:eastAsia="Times New Roman" w:hAnsi="Times New Roman" w:cs="Times New Roman"/>
          <w:b/>
          <w:noProof/>
          <w:sz w:val="24"/>
          <w:szCs w:val="20"/>
          <w:lang w:val="en-GB" w:eastAsia="en-GB"/>
        </w:rPr>
        <w:t>riculture's NH</w:t>
      </w:r>
      <w:r>
        <w:rPr>
          <w:rFonts w:ascii="Times New Roman" w:eastAsia="Times New Roman" w:hAnsi="Times New Roman" w:cs="Times New Roman"/>
          <w:b/>
          <w:noProof/>
          <w:sz w:val="24"/>
          <w:szCs w:val="20"/>
          <w:vertAlign w:val="subscript"/>
          <w:lang w:val="en-GB" w:eastAsia="en-GB"/>
        </w:rPr>
        <w:t>3</w:t>
      </w:r>
      <w:r>
        <w:rPr>
          <w:rFonts w:ascii="Times New Roman" w:eastAsia="Times New Roman" w:hAnsi="Times New Roman" w:cs="Times New Roman"/>
          <w:b/>
          <w:noProof/>
          <w:sz w:val="24"/>
          <w:szCs w:val="20"/>
          <w:lang w:val="en-GB" w:eastAsia="en-GB"/>
        </w:rPr>
        <w:t xml:space="preserve"> emissions are an exception</w:t>
      </w:r>
      <w:r>
        <w:rPr>
          <w:rFonts w:ascii="Times New Roman" w:eastAsia="Times New Roman" w:hAnsi="Times New Roman" w:cs="Times New Roman"/>
          <w:noProof/>
          <w:sz w:val="24"/>
          <w:szCs w:val="20"/>
          <w:lang w:val="en-GB" w:eastAsia="en-GB"/>
        </w:rPr>
        <w:t xml:space="preserve">.  </w:t>
      </w:r>
      <w:r>
        <w:rPr>
          <w:rFonts w:ascii="Times New Roman" w:eastAsia="Times New Roman" w:hAnsi="Times New Roman" w:cs="Times New Roman"/>
          <w:b/>
          <w:noProof/>
          <w:sz w:val="24"/>
          <w:szCs w:val="20"/>
          <w:lang w:val="en-GB" w:eastAsia="en-GB"/>
        </w:rPr>
        <w:t>Effective engagement of the sector will be needed to deliver the required reductions</w:t>
      </w:r>
      <w:r>
        <w:rPr>
          <w:rFonts w:ascii="Times New Roman" w:eastAsia="Times New Roman" w:hAnsi="Times New Roman" w:cs="Times New Roman"/>
          <w:noProof/>
          <w:sz w:val="24"/>
          <w:szCs w:val="20"/>
          <w:lang w:val="en-GB" w:eastAsia="en-GB"/>
        </w:rPr>
        <w:t>.  Even then, the current analysis shows that the EU will be far from its long-term objective of no exceedence of eutrophicatio</w:t>
      </w:r>
      <w:r>
        <w:rPr>
          <w:rFonts w:ascii="Times New Roman" w:eastAsia="Times New Roman" w:hAnsi="Times New Roman" w:cs="Times New Roman"/>
          <w:noProof/>
          <w:sz w:val="24"/>
          <w:szCs w:val="20"/>
          <w:lang w:val="en-GB" w:eastAsia="en-GB"/>
        </w:rPr>
        <w:t xml:space="preserve">n critical loads, but there is substantial further reduction potential which could move the EU much closer. </w:t>
      </w:r>
      <w:r>
        <w:rPr>
          <w:rFonts w:ascii="Times New Roman" w:eastAsia="Times New Roman" w:hAnsi="Times New Roman" w:cs="Times New Roman"/>
          <w:b/>
          <w:noProof/>
          <w:sz w:val="24"/>
          <w:szCs w:val="20"/>
          <w:lang w:val="en-GB" w:eastAsia="en-GB"/>
        </w:rPr>
        <w:t>The Commission will continue to support national efforts in this regard, including by maximising the use of Common Agricultural Policy funding and b</w:t>
      </w:r>
      <w:r>
        <w:rPr>
          <w:rFonts w:ascii="Times New Roman" w:eastAsia="Times New Roman" w:hAnsi="Times New Roman" w:cs="Times New Roman"/>
          <w:b/>
          <w:noProof/>
          <w:sz w:val="24"/>
          <w:szCs w:val="20"/>
          <w:lang w:val="en-GB" w:eastAsia="en-GB"/>
        </w:rPr>
        <w:t xml:space="preserve">y promoting synergies with  the implementation of relevant EU legislation, such as the Nitrates Directive 91/676/EEC.    </w:t>
      </w:r>
    </w:p>
    <w:p w:rsidR="003D205C" w:rsidRDefault="003D205C">
      <w:pPr>
        <w:pStyle w:val="ListParagraph"/>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As stated by the Commission at the time of adoption of the new NECD, </w:t>
      </w:r>
      <w:r>
        <w:rPr>
          <w:rFonts w:ascii="Times New Roman" w:eastAsia="Times New Roman" w:hAnsi="Times New Roman" w:cs="Times New Roman"/>
          <w:b/>
          <w:noProof/>
          <w:sz w:val="24"/>
          <w:szCs w:val="20"/>
          <w:lang w:val="en-GB" w:eastAsia="en-GB"/>
        </w:rPr>
        <w:t>methane emissions should also be kept under review with regard t</w:t>
      </w:r>
      <w:r>
        <w:rPr>
          <w:rFonts w:ascii="Times New Roman" w:eastAsia="Times New Roman" w:hAnsi="Times New Roman" w:cs="Times New Roman"/>
          <w:b/>
          <w:noProof/>
          <w:sz w:val="24"/>
          <w:szCs w:val="20"/>
          <w:lang w:val="en-GB" w:eastAsia="en-GB"/>
        </w:rPr>
        <w:t>o their impact on ozone concentrations in the EU and to promote methane reductions internationally</w:t>
      </w:r>
      <w:r>
        <w:rPr>
          <w:rFonts w:ascii="Times New Roman" w:eastAsia="Times New Roman" w:hAnsi="Times New Roman" w:cs="Times New Roman"/>
          <w:noProof/>
          <w:sz w:val="24"/>
          <w:szCs w:val="20"/>
          <w:lang w:val="en-GB" w:eastAsia="en-GB"/>
        </w:rPr>
        <w:t xml:space="preserve">. On the basis of the reported national emissions, </w:t>
      </w:r>
      <w:r>
        <w:rPr>
          <w:rFonts w:ascii="Times New Roman" w:eastAsia="Times New Roman" w:hAnsi="Times New Roman" w:cs="Times New Roman"/>
          <w:b/>
          <w:noProof/>
          <w:sz w:val="24"/>
          <w:szCs w:val="20"/>
          <w:lang w:val="en-GB" w:eastAsia="en-GB"/>
        </w:rPr>
        <w:t>the Commission will further assess the impact of methane emissions on achieving air policy objectives, cons</w:t>
      </w:r>
      <w:r>
        <w:rPr>
          <w:rFonts w:ascii="Times New Roman" w:eastAsia="Times New Roman" w:hAnsi="Times New Roman" w:cs="Times New Roman"/>
          <w:b/>
          <w:noProof/>
          <w:sz w:val="24"/>
          <w:szCs w:val="20"/>
          <w:lang w:val="en-GB" w:eastAsia="en-GB"/>
        </w:rPr>
        <w:t>ider measures for reducing those emissions and, where appropriate, submit a legislative proposal, based on the evidence at EU and global level</w:t>
      </w:r>
      <w:r>
        <w:rPr>
          <w:rFonts w:ascii="Times New Roman" w:eastAsia="Times New Roman" w:hAnsi="Times New Roman" w:cs="Times New Roman"/>
          <w:noProof/>
          <w:sz w:val="24"/>
          <w:szCs w:val="20"/>
          <w:lang w:val="en-GB" w:eastAsia="en-GB"/>
        </w:rPr>
        <w:t>.</w:t>
      </w:r>
    </w:p>
    <w:p w:rsidR="003D205C" w:rsidRDefault="003D205C">
      <w:pPr>
        <w:pStyle w:val="ListParagraph"/>
        <w:spacing w:before="120" w:after="120" w:line="240" w:lineRule="auto"/>
        <w:jc w:val="both"/>
        <w:rPr>
          <w:rFonts w:ascii="Times New Roman" w:eastAsia="Times New Roman" w:hAnsi="Times New Roman" w:cs="Times New Roman"/>
          <w:noProof/>
          <w:sz w:val="24"/>
          <w:szCs w:val="20"/>
          <w:lang w:val="en-GB" w:eastAsia="en-GB"/>
        </w:rPr>
      </w:pPr>
    </w:p>
    <w:p w:rsidR="003D205C" w:rsidRDefault="0086548F">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next Clean Air Outlook will be published in 2020, and will include the Commission's analysis of the 2019 Na</w:t>
      </w:r>
      <w:r>
        <w:rPr>
          <w:rFonts w:ascii="Times New Roman" w:eastAsia="Times New Roman" w:hAnsi="Times New Roman" w:cs="Times New Roman"/>
          <w:noProof/>
          <w:sz w:val="24"/>
          <w:szCs w:val="20"/>
          <w:lang w:val="en-GB" w:eastAsia="en-GB"/>
        </w:rPr>
        <w:t>tional Air Pollution Control Programmes.</w:t>
      </w:r>
    </w:p>
    <w:sectPr w:rsidR="003D205C">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5C" w:rsidRDefault="0086548F">
      <w:pPr>
        <w:spacing w:after="0" w:line="240" w:lineRule="auto"/>
      </w:pPr>
      <w:r>
        <w:separator/>
      </w:r>
    </w:p>
  </w:endnote>
  <w:endnote w:type="continuationSeparator" w:id="0">
    <w:p w:rsidR="003D205C" w:rsidRDefault="0086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Regu-Identity-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FooterCoverPage"/>
      <w:rPr>
        <w:rFonts w:ascii="Arial" w:hAnsi="Arial" w:cs="Arial"/>
        <w:b/>
        <w:sz w:val="48"/>
      </w:rPr>
    </w:pPr>
    <w:r w:rsidRPr="0086548F">
      <w:rPr>
        <w:rFonts w:ascii="Arial" w:hAnsi="Arial" w:cs="Arial"/>
        <w:b/>
        <w:sz w:val="48"/>
      </w:rPr>
      <w:t>EN</w:t>
    </w:r>
    <w:r w:rsidRPr="0086548F">
      <w:rPr>
        <w:rFonts w:ascii="Arial" w:hAnsi="Arial" w:cs="Arial"/>
        <w:b/>
        <w:sz w:val="48"/>
      </w:rPr>
      <w:tab/>
    </w:r>
    <w:r w:rsidRPr="0086548F">
      <w:rPr>
        <w:rFonts w:ascii="Arial" w:hAnsi="Arial" w:cs="Arial"/>
        <w:b/>
        <w:sz w:val="48"/>
      </w:rPr>
      <w:tab/>
    </w:r>
    <w:r w:rsidRPr="0086548F">
      <w:tab/>
    </w:r>
    <w:r w:rsidRPr="0086548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5C" w:rsidRDefault="003D20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59800"/>
      <w:docPartObj>
        <w:docPartGallery w:val="Page Numbers (Bottom of Page)"/>
        <w:docPartUnique/>
      </w:docPartObj>
    </w:sdtPr>
    <w:sdtEndPr>
      <w:rPr>
        <w:noProof/>
      </w:rPr>
    </w:sdtEndPr>
    <w:sdtContent>
      <w:p w:rsidR="003D205C" w:rsidRDefault="008654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205C" w:rsidRDefault="003D20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5C" w:rsidRDefault="003D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5C" w:rsidRDefault="0086548F">
      <w:pPr>
        <w:spacing w:after="0" w:line="240" w:lineRule="auto"/>
      </w:pPr>
      <w:r>
        <w:separator/>
      </w:r>
    </w:p>
  </w:footnote>
  <w:footnote w:type="continuationSeparator" w:id="0">
    <w:p w:rsidR="003D205C" w:rsidRDefault="0086548F">
      <w:pPr>
        <w:spacing w:after="0" w:line="240" w:lineRule="auto"/>
      </w:pPr>
      <w:r>
        <w:continuationSeparator/>
      </w:r>
    </w:p>
  </w:footnote>
  <w:footnote w:id="1">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OJ </w:t>
      </w:r>
      <w:r>
        <w:rPr>
          <w:rFonts w:ascii="Times New Roman" w:hAnsi="Times New Roman" w:cs="Times New Roman"/>
          <w:iCs/>
          <w:lang w:val="en-GB"/>
        </w:rPr>
        <w:t>L 152 , 11.06.2008, p. 1 – 44</w:t>
      </w:r>
    </w:p>
  </w:footnote>
  <w:footnote w:id="2">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iCs/>
          <w:lang w:val="en-GB"/>
        </w:rPr>
        <w:t>European Enviroment Agency (EEA), October 2017, ‘Air quality in Europe - 2017 report’</w:t>
      </w:r>
    </w:p>
  </w:footnote>
  <w:footnote w:id="3">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See: </w:t>
      </w:r>
      <w:hyperlink r:id="rId1" w:history="1">
        <w:r>
          <w:rPr>
            <w:rStyle w:val="Hyperlink"/>
            <w:rFonts w:ascii="Times New Roman" w:hAnsi="Times New Roman" w:cs="Times New Roman"/>
            <w:lang w:val="en-GB"/>
          </w:rPr>
          <w:t>http://ec.europa.eu/environment/air/clean_air/review.htm</w:t>
        </w:r>
      </w:hyperlink>
    </w:p>
  </w:footnote>
  <w:footnote w:id="4">
    <w:p w:rsidR="003D205C" w:rsidRDefault="0086548F">
      <w:pPr>
        <w:pStyle w:val="FootnoteText"/>
        <w:rPr>
          <w:rFonts w:ascii="Times New Roman" w:hAnsi="Times New Roman" w:cs="Times New Roman"/>
          <w:lang w:val="pt-PT"/>
        </w:rPr>
      </w:pPr>
      <w:r>
        <w:rPr>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szCs w:val="24"/>
          <w:lang w:val="pt-PT"/>
        </w:rPr>
        <w:t>COM(2013)918 final</w:t>
      </w:r>
    </w:p>
  </w:footnote>
  <w:footnote w:id="5">
    <w:p w:rsidR="003D205C" w:rsidRDefault="0086548F">
      <w:pPr>
        <w:pStyle w:val="FootnoteText"/>
        <w:rPr>
          <w:rFonts w:ascii="Times New Roman" w:hAnsi="Times New Roman" w:cs="Times New Roman"/>
          <w:lang w:val="pt-PT"/>
        </w:rPr>
      </w:pPr>
      <w:r>
        <w:rPr>
          <w:rFonts w:ascii="Times New Roman" w:hAnsi="Times New Roman" w:cs="Times New Roman"/>
        </w:rPr>
        <w:footnoteRef/>
      </w:r>
      <w:r>
        <w:rPr>
          <w:rFonts w:ascii="Times New Roman" w:hAnsi="Times New Roman" w:cs="Times New Roman"/>
          <w:lang w:val="pt-PT"/>
        </w:rPr>
        <w:t xml:space="preserve"> OJ L 313, 28.11.2015, p. 1–19</w:t>
      </w:r>
    </w:p>
  </w:footnote>
  <w:footnote w:id="6">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OJ L 248, 27.9.2017, p. 3 - 75</w:t>
      </w:r>
    </w:p>
  </w:footnote>
  <w:footnote w:id="7">
    <w:p w:rsidR="003D205C" w:rsidRDefault="0086548F">
      <w:pPr>
        <w:pStyle w:val="FootnoteText"/>
        <w:rPr>
          <w:lang w:val="en-GB"/>
        </w:rPr>
      </w:pPr>
      <w:r>
        <w:rPr>
          <w:rFonts w:ascii="Times New Roman" w:hAnsi="Times New Roman" w:cs="Times New Roman"/>
        </w:rPr>
        <w:footnoteRef/>
      </w:r>
      <w:r>
        <w:rPr>
          <w:rFonts w:ascii="Times New Roman" w:hAnsi="Times New Roman" w:cs="Times New Roman"/>
          <w:lang w:val="en-GB"/>
        </w:rPr>
        <w:t xml:space="preserve"> OJ L 344 of 17.12.2016, p. 1</w:t>
      </w:r>
    </w:p>
  </w:footnote>
  <w:footnote w:id="8">
    <w:p w:rsidR="003D205C" w:rsidRDefault="0086548F">
      <w:pPr>
        <w:pStyle w:val="FootnoteText"/>
        <w:rPr>
          <w:lang w:val="en-GB"/>
        </w:rPr>
      </w:pPr>
      <w:r>
        <w:footnoteRef/>
      </w:r>
      <w:r>
        <w:rPr>
          <w:lang w:val="en-GB"/>
        </w:rPr>
        <w:t xml:space="preserve"> </w:t>
      </w:r>
      <w:r>
        <w:rPr>
          <w:rFonts w:ascii="Times New Roman" w:hAnsi="Times New Roman" w:cs="Times New Roman"/>
          <w:iCs/>
          <w:lang w:val="en-GB"/>
        </w:rPr>
        <w:t xml:space="preserve">European </w:t>
      </w:r>
      <w:r>
        <w:rPr>
          <w:rFonts w:ascii="Times New Roman" w:hAnsi="Times New Roman" w:cs="Times New Roman"/>
          <w:iCs/>
          <w:lang w:val="en-GB"/>
        </w:rPr>
        <w:t>Environment Agency (EEA), October 2017, ‘Air quality in Europe - 2017 report’</w:t>
      </w:r>
    </w:p>
  </w:footnote>
  <w:footnote w:id="9">
    <w:p w:rsidR="003D205C" w:rsidRDefault="0086548F">
      <w:pPr>
        <w:pStyle w:val="FootnoteText"/>
        <w:ind w:left="120" w:hanging="120"/>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Commission Regulation (EU) 2017/1151, as amended. OJ L 175, 7.7.2017, p. 1–643.</w:t>
      </w:r>
    </w:p>
  </w:footnote>
  <w:footnote w:id="10">
    <w:p w:rsidR="003D205C" w:rsidRDefault="0086548F">
      <w:pPr>
        <w:pStyle w:val="FootnoteText"/>
        <w:ind w:left="120" w:hanging="120"/>
        <w:rPr>
          <w:rFonts w:ascii="Times New Roman" w:hAnsi="Times New Roman" w:cs="Times New Roman"/>
          <w:lang w:val="pt-PT"/>
        </w:rPr>
      </w:pPr>
      <w:r>
        <w:rPr>
          <w:rFonts w:ascii="Times New Roman" w:hAnsi="Times New Roman" w:cs="Times New Roman"/>
        </w:rPr>
        <w:footnoteRef/>
      </w:r>
      <w:r>
        <w:rPr>
          <w:rFonts w:ascii="Times New Roman" w:hAnsi="Times New Roman" w:cs="Times New Roman"/>
          <w:lang w:val="pt-PT"/>
        </w:rPr>
        <w:t xml:space="preserve"> COM(2016)31 final.</w:t>
      </w:r>
    </w:p>
  </w:footnote>
  <w:footnote w:id="11">
    <w:p w:rsidR="003D205C" w:rsidRDefault="0086548F">
      <w:pPr>
        <w:pStyle w:val="FootnoteText"/>
        <w:ind w:left="240" w:hanging="240"/>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Regulation (EC) No 715/2007. </w:t>
      </w:r>
      <w:r>
        <w:rPr>
          <w:rFonts w:ascii="Times New Roman" w:hAnsi="Times New Roman" w:cs="Times New Roman"/>
          <w:lang w:val="en-GB"/>
        </w:rPr>
        <w:t>OJ L 171, 29.6.2007, p. 1–16.</w:t>
      </w:r>
    </w:p>
  </w:footnote>
  <w:footnote w:id="12">
    <w:p w:rsidR="003D205C" w:rsidRDefault="0086548F">
      <w:pPr>
        <w:pStyle w:val="FootnoteText"/>
        <w:rPr>
          <w:rFonts w:ascii="Times New Roman" w:hAnsi="Times New Roman" w:cs="Times New Roman"/>
          <w:lang w:val="fr-BE"/>
        </w:rPr>
      </w:pPr>
      <w:r>
        <w:rPr>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bCs/>
          <w:lang w:val="fr-BE"/>
        </w:rPr>
        <w:t>Directive 2</w:t>
      </w:r>
      <w:r>
        <w:rPr>
          <w:rFonts w:ascii="Times New Roman" w:hAnsi="Times New Roman" w:cs="Times New Roman"/>
          <w:bCs/>
          <w:lang w:val="fr-BE"/>
        </w:rPr>
        <w:t>010/75/EU</w:t>
      </w:r>
      <w:r>
        <w:rPr>
          <w:rFonts w:ascii="Times New Roman" w:hAnsi="Times New Roman" w:cs="Times New Roman"/>
          <w:lang w:val="fr-BE"/>
        </w:rPr>
        <w:t xml:space="preserve">, </w:t>
      </w:r>
      <w:r>
        <w:rPr>
          <w:rFonts w:ascii="Times New Roman" w:hAnsi="Times New Roman" w:cs="Times New Roman"/>
          <w:iCs/>
          <w:lang w:val="fr-BE"/>
        </w:rPr>
        <w:t>OJ L 334, 17.12.2010, p. 17–119</w:t>
      </w:r>
    </w:p>
  </w:footnote>
  <w:footnote w:id="13">
    <w:p w:rsidR="003D205C" w:rsidRDefault="0086548F">
      <w:pPr>
        <w:pStyle w:val="FootnoteText"/>
        <w:rPr>
          <w:rFonts w:ascii="Times New Roman" w:hAnsi="Times New Roman" w:cs="Times New Roman"/>
          <w:lang w:val="fr-BE"/>
        </w:rPr>
      </w:pPr>
      <w:r>
        <w:rPr>
          <w:rFonts w:ascii="Times New Roman" w:hAnsi="Times New Roman" w:cs="Times New Roman"/>
        </w:rPr>
        <w:footnoteRef/>
      </w:r>
      <w:r>
        <w:rPr>
          <w:rFonts w:ascii="Times New Roman" w:hAnsi="Times New Roman" w:cs="Times New Roman"/>
          <w:lang w:val="fr-BE"/>
        </w:rPr>
        <w:t xml:space="preserve"> Commission Regulation 2015/1185, OJ EU L 193, 21.07.2015.</w:t>
      </w:r>
    </w:p>
  </w:footnote>
  <w:footnote w:id="14">
    <w:p w:rsidR="003D205C" w:rsidRDefault="0086548F">
      <w:pPr>
        <w:pStyle w:val="FootnoteText"/>
        <w:rPr>
          <w:lang w:val="fr-BE"/>
        </w:rPr>
      </w:pPr>
      <w:r>
        <w:rPr>
          <w:rFonts w:ascii="Times New Roman" w:hAnsi="Times New Roman" w:cs="Times New Roman"/>
        </w:rPr>
        <w:footnoteRef/>
      </w:r>
      <w:r>
        <w:rPr>
          <w:rFonts w:ascii="Times New Roman" w:hAnsi="Times New Roman" w:cs="Times New Roman"/>
          <w:lang w:val="fr-BE"/>
        </w:rPr>
        <w:t xml:space="preserve"> Commission Regulation 2015/1189, OJ EU L 193, 21.07.2015.</w:t>
      </w:r>
    </w:p>
  </w:footnote>
  <w:footnote w:id="15">
    <w:p w:rsidR="003D205C" w:rsidRDefault="0086548F">
      <w:pPr>
        <w:pStyle w:val="FootnoteText"/>
        <w:rPr>
          <w:rFonts w:ascii="Times New Roman" w:hAnsi="Times New Roman" w:cs="Times New Roman"/>
          <w:lang w:val="fr-BE"/>
        </w:rPr>
      </w:pPr>
      <w:r>
        <w:rPr>
          <w:rFonts w:ascii="Times New Roman" w:hAnsi="Times New Roman" w:cs="Times New Roman"/>
        </w:rPr>
        <w:footnoteRef/>
      </w:r>
      <w:r>
        <w:rPr>
          <w:rFonts w:ascii="Times New Roman" w:hAnsi="Times New Roman" w:cs="Times New Roman"/>
          <w:lang w:val="fr-BE"/>
        </w:rPr>
        <w:t xml:space="preserve"> Directive 2010/31/EU, OJ L 153, 18.6.2010, p. 13–35.</w:t>
      </w:r>
    </w:p>
  </w:footnote>
  <w:footnote w:id="16">
    <w:p w:rsidR="003D205C" w:rsidRDefault="0086548F">
      <w:pPr>
        <w:pStyle w:val="FootnoteText"/>
        <w:rPr>
          <w:rFonts w:ascii="Times New Roman" w:hAnsi="Times New Roman" w:cs="Times New Roman"/>
          <w:lang w:val="fr-BE"/>
        </w:rPr>
      </w:pPr>
      <w:r>
        <w:rPr>
          <w:rFonts w:ascii="Times New Roman" w:hAnsi="Times New Roman" w:cs="Times New Roman"/>
        </w:rPr>
        <w:footnoteRef/>
      </w:r>
      <w:r>
        <w:rPr>
          <w:rFonts w:ascii="Times New Roman" w:hAnsi="Times New Roman" w:cs="Times New Roman"/>
          <w:lang w:val="fr-BE"/>
        </w:rPr>
        <w:t xml:space="preserve"> Directive 2012/27/EU, OJ L 315, 14.11.2012, p. 1–56.</w:t>
      </w:r>
    </w:p>
  </w:footnote>
  <w:footnote w:id="17">
    <w:p w:rsidR="003D205C" w:rsidRDefault="0086548F">
      <w:pPr>
        <w:pStyle w:val="FootnoteText"/>
        <w:rPr>
          <w:rFonts w:ascii="Times New Roman" w:hAnsi="Times New Roman" w:cs="Times New Roman"/>
          <w:lang w:val="fr-BE"/>
        </w:rPr>
      </w:pPr>
      <w:r>
        <w:rPr>
          <w:rFonts w:ascii="Times New Roman" w:hAnsi="Times New Roman" w:cs="Times New Roman"/>
        </w:rPr>
        <w:footnoteRef/>
      </w:r>
      <w:r>
        <w:rPr>
          <w:rFonts w:ascii="Times New Roman" w:hAnsi="Times New Roman" w:cs="Times New Roman"/>
          <w:lang w:val="fr-BE"/>
        </w:rPr>
        <w:t xml:space="preserve"> Regulation (EU) 2017/1369, OJ L 198, 28.7.2017, p. 1–23.</w:t>
      </w:r>
    </w:p>
  </w:footnote>
  <w:footnote w:id="18">
    <w:p w:rsidR="003D205C" w:rsidRDefault="0086548F">
      <w:pPr>
        <w:pStyle w:val="FootnoteText"/>
        <w:ind w:left="120" w:hanging="120"/>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Commission Implementing Decision (EU) 2017/1442, OJ L 212, 17.8.2017, p. 1–82.</w:t>
      </w:r>
    </w:p>
  </w:footnote>
  <w:footnote w:id="19">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COM(2017) 57 final-  Renewable Energy Progress Report, p.5</w:t>
      </w:r>
    </w:p>
  </w:footnote>
  <w:footnote w:id="20">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COM(2016) 860 final- Communication  Clean Energy For All Europeans, p.9</w:t>
      </w:r>
    </w:p>
  </w:footnote>
  <w:footnote w:id="21">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See: </w:t>
      </w:r>
      <w:hyperlink r:id="rId2" w:history="1">
        <w:r>
          <w:rPr>
            <w:rStyle w:val="Hyperlink"/>
            <w:rFonts w:ascii="Times New Roman" w:hAnsi="Times New Roman" w:cs="Times New Roman"/>
            <w:lang w:val="en-GB"/>
          </w:rPr>
          <w:t>http://ec.europa.eu/environment/eir/index_en.htm</w:t>
        </w:r>
      </w:hyperlink>
      <w:r>
        <w:rPr>
          <w:rFonts w:ascii="Times New Roman" w:hAnsi="Times New Roman" w:cs="Times New Roman"/>
          <w:lang w:val="en-GB"/>
        </w:rPr>
        <w:t xml:space="preserve"> </w:t>
      </w:r>
    </w:p>
  </w:footnote>
  <w:footnote w:id="22">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See: </w:t>
      </w:r>
      <w:hyperlink r:id="rId3" w:history="1">
        <w:r>
          <w:rPr>
            <w:rStyle w:val="Hyperlink"/>
            <w:rFonts w:ascii="Times New Roman" w:hAnsi="Times New Roman" w:cs="Times New Roman"/>
            <w:lang w:val="en-GB"/>
          </w:rPr>
          <w:t>http://ec.europa.eu/environment/air/clean_air/dialogue.htm</w:t>
        </w:r>
      </w:hyperlink>
      <w:r>
        <w:rPr>
          <w:rFonts w:ascii="Times New Roman" w:hAnsi="Times New Roman" w:cs="Times New Roman"/>
          <w:lang w:val="en-GB"/>
        </w:rPr>
        <w:t xml:space="preserve"> </w:t>
      </w:r>
    </w:p>
    <w:p w:rsidR="003D205C" w:rsidRDefault="003D205C">
      <w:pPr>
        <w:pStyle w:val="FootnoteText"/>
        <w:rPr>
          <w:lang w:val="en-GB"/>
        </w:rPr>
      </w:pPr>
    </w:p>
  </w:footnote>
  <w:footnote w:id="23">
    <w:p w:rsidR="003D205C" w:rsidRDefault="0086548F">
      <w:pPr>
        <w:pStyle w:val="FootnoteText"/>
        <w:rPr>
          <w:rFonts w:ascii="Times New Roman" w:hAnsi="Times New Roman" w:cs="Times New Roman"/>
          <w:lang w:val="pt-PT"/>
        </w:rPr>
      </w:pPr>
      <w:r>
        <w:rPr>
          <w:rFonts w:ascii="Times New Roman" w:hAnsi="Times New Roman" w:cs="Times New Roman"/>
        </w:rPr>
        <w:footnoteRef/>
      </w:r>
      <w:r>
        <w:rPr>
          <w:rFonts w:ascii="Times New Roman" w:hAnsi="Times New Roman" w:cs="Times New Roman"/>
          <w:lang w:val="pt-PT"/>
        </w:rPr>
        <w:t xml:space="preserve"> COM(2013)920 final</w:t>
      </w:r>
    </w:p>
  </w:footnote>
  <w:footnote w:id="24">
    <w:p w:rsidR="003D205C" w:rsidRDefault="0086548F">
      <w:pPr>
        <w:pStyle w:val="FootnoteText"/>
        <w:rPr>
          <w:lang w:val="pt-PT"/>
        </w:rPr>
      </w:pPr>
      <w:r>
        <w:rPr>
          <w:rFonts w:ascii="Times New Roman" w:hAnsi="Times New Roman" w:cs="Times New Roman"/>
        </w:rPr>
        <w:footnoteRef/>
      </w:r>
      <w:r>
        <w:rPr>
          <w:rFonts w:ascii="Times New Roman" w:hAnsi="Times New Roman" w:cs="Times New Roman"/>
          <w:lang w:val="pt-PT"/>
        </w:rPr>
        <w:t xml:space="preserve"> Regulation (EU) 2016/1628 - OJ EU L 252, 16.09.2016</w:t>
      </w:r>
    </w:p>
  </w:footnote>
  <w:footnote w:id="25">
    <w:p w:rsidR="003D205C" w:rsidRDefault="0086548F">
      <w:pPr>
        <w:pStyle w:val="NormalWeb"/>
        <w:spacing w:before="0" w:beforeAutospacing="0" w:after="0" w:afterAutospacing="0"/>
        <w:jc w:val="both"/>
        <w:rPr>
          <w:lang w:val="en-GB"/>
        </w:rPr>
      </w:pPr>
      <w:r>
        <w:footnoteRef/>
      </w:r>
      <w:r>
        <w:t xml:space="preserve"> </w:t>
      </w:r>
      <w:r>
        <w:rPr>
          <w:rFonts w:eastAsiaTheme="minorHAnsi"/>
          <w:sz w:val="20"/>
          <w:szCs w:val="20"/>
          <w:lang w:val="en-GB"/>
        </w:rPr>
        <w:t xml:space="preserve">Annex II on cross-compliance of Regulation </w:t>
      </w:r>
      <w:r>
        <w:rPr>
          <w:rFonts w:eastAsiaTheme="minorHAnsi"/>
          <w:sz w:val="20"/>
          <w:szCs w:val="20"/>
          <w:lang w:val="en-GB"/>
        </w:rPr>
        <w:t>(EU) 1306/2013 on the financing, management and monitoring of the common agricultural policy, OJ L 347, 20.12.2013, p. 549</w:t>
      </w:r>
      <w:r>
        <w:rPr>
          <w:rFonts w:ascii="EUAlbertina-Regu-Identity-H" w:hAnsi="EUAlbertina-Regu-Identity-H"/>
          <w:sz w:val="18"/>
          <w:szCs w:val="18"/>
        </w:rPr>
        <w:t>.</w:t>
      </w:r>
    </w:p>
  </w:footnote>
  <w:footnote w:id="26">
    <w:p w:rsidR="003D205C" w:rsidRDefault="0086548F">
      <w:pPr>
        <w:pStyle w:val="FootnoteText"/>
        <w:ind w:hanging="120"/>
        <w:jc w:val="both"/>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The estimate for implementation costs of the original COM proposal is set out in the TSAP 16 report (IIASA). Available on </w:t>
      </w:r>
      <w:hyperlink r:id="rId4" w:history="1">
        <w:r>
          <w:rPr>
            <w:rStyle w:val="Hyperlink"/>
            <w:rFonts w:ascii="Times New Roman" w:hAnsi="Times New Roman" w:cs="Times New Roman"/>
            <w:lang w:val="en-GB"/>
          </w:rPr>
          <w:t>http://www.iiasa.ac.at/web/home/research/researchPrograms/air/policy/TSAP-reports.html</w:t>
        </w:r>
      </w:hyperlink>
    </w:p>
  </w:footnote>
  <w:footnote w:id="27">
    <w:p w:rsidR="003D205C" w:rsidRDefault="0086548F">
      <w:pPr>
        <w:pStyle w:val="FootnoteText"/>
        <w:ind w:hanging="240"/>
        <w:jc w:val="both"/>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Note that the per capita figure is an average which does not reflect dif</w:t>
      </w:r>
      <w:r>
        <w:rPr>
          <w:rFonts w:ascii="Times New Roman" w:hAnsi="Times New Roman" w:cs="Times New Roman"/>
          <w:lang w:val="en-GB"/>
        </w:rPr>
        <w:t>ferences in costs between economic operators and regions.</w:t>
      </w:r>
    </w:p>
  </w:footnote>
  <w:footnote w:id="28">
    <w:p w:rsidR="003D205C" w:rsidRDefault="0086548F">
      <w:pPr>
        <w:pStyle w:val="FootnoteText"/>
        <w:jc w:val="both"/>
        <w:rPr>
          <w:rFonts w:ascii="Times New Roman" w:hAnsi="Times New Roman" w:cs="Times New Roman"/>
          <w:lang w:val="en-GB"/>
        </w:rPr>
      </w:pPr>
      <w:r>
        <w:footnoteRef/>
      </w:r>
      <w:r>
        <w:rPr>
          <w:lang w:val="en-GB"/>
        </w:rPr>
        <w:t xml:space="preserve"> </w:t>
      </w:r>
      <w:r>
        <w:rPr>
          <w:rFonts w:ascii="Times New Roman" w:hAnsi="Times New Roman" w:cs="Times New Roman"/>
          <w:lang w:val="en-GB"/>
        </w:rPr>
        <w:t xml:space="preserve">Commission proposals available on </w:t>
      </w:r>
      <w:hyperlink r:id="rId5" w:anchor="tab-0-0" w:history="1">
        <w:r>
          <w:rPr>
            <w:rFonts w:ascii="Times New Roman" w:hAnsi="Times New Roman" w:cs="Times New Roman"/>
            <w:lang w:val="en-GB"/>
          </w:rPr>
          <w:t>https://ec.europa.eu/clima/policies/strategies/2030_en#tab-0-0</w:t>
        </w:r>
      </w:hyperlink>
      <w:r>
        <w:rPr>
          <w:rFonts w:ascii="Times New Roman" w:hAnsi="Times New Roman" w:cs="Times New Roman"/>
          <w:lang w:val="en-GB"/>
        </w:rPr>
        <w:t>; formal adoptio</w:t>
      </w:r>
      <w:r>
        <w:rPr>
          <w:rFonts w:ascii="Times New Roman" w:hAnsi="Times New Roman" w:cs="Times New Roman"/>
          <w:lang w:val="en-GB"/>
        </w:rPr>
        <w:t>n of 2017 co-decision agreements currently pending.</w:t>
      </w:r>
    </w:p>
  </w:footnote>
  <w:footnote w:id="29">
    <w:p w:rsidR="003D205C" w:rsidRDefault="0086548F">
      <w:pPr>
        <w:pStyle w:val="FootnoteText"/>
        <w:rPr>
          <w:lang w:val="en-GB"/>
        </w:rPr>
      </w:pPr>
      <w:r>
        <w:rPr>
          <w:rFonts w:ascii="Times New Roman" w:hAnsi="Times New Roman" w:cs="Times New Roman"/>
        </w:rPr>
        <w:footnoteRef/>
      </w:r>
      <w:r>
        <w:rPr>
          <w:rFonts w:ascii="Times New Roman" w:hAnsi="Times New Roman" w:cs="Times New Roman"/>
          <w:lang w:val="en-GB"/>
        </w:rPr>
        <w:t xml:space="preserve"> Detail is available in the accompanying report by the International Institute for Applied Systems Analysis, 'Progress towards the achievement of the EU's air quality and emissions objectives'.</w:t>
      </w:r>
    </w:p>
  </w:footnote>
  <w:footnote w:id="30">
    <w:p w:rsidR="003D205C" w:rsidRDefault="0086548F">
      <w:pPr>
        <w:pStyle w:val="FootnoteText"/>
        <w:rPr>
          <w:lang w:val="en-GB"/>
        </w:rPr>
      </w:pPr>
      <w:r>
        <w:footnoteRef/>
      </w:r>
      <w:r>
        <w:rPr>
          <w:lang w:val="en-GB"/>
        </w:rPr>
        <w:t xml:space="preserve"> </w:t>
      </w:r>
      <w:r>
        <w:rPr>
          <w:rFonts w:ascii="Times New Roman" w:hAnsi="Times New Roman" w:cs="Times New Roman"/>
          <w:lang w:val="en-GB"/>
        </w:rPr>
        <w:t>Commiss</w:t>
      </w:r>
      <w:r>
        <w:rPr>
          <w:rFonts w:ascii="Times New Roman" w:hAnsi="Times New Roman" w:cs="Times New Roman"/>
          <w:lang w:val="en-GB"/>
        </w:rPr>
        <w:t>ion implementing decision (EU) 2017/302, OJ L 43, 21.2.2017, p. 231–279.</w:t>
      </w:r>
    </w:p>
  </w:footnote>
  <w:footnote w:id="31">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Council Directive 91/676/EEC, OJ L 375, 31.12.1991, p. 1.</w:t>
      </w:r>
    </w:p>
  </w:footnote>
  <w:footnote w:id="32">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Commission proposals for ETS and non-ETS (ESR) for 2030,  </w:t>
      </w:r>
      <w:hyperlink r:id="rId6" w:history="1">
        <w:r>
          <w:rPr>
            <w:rStyle w:val="Hyperlink"/>
            <w:rFonts w:ascii="Times New Roman" w:hAnsi="Times New Roman" w:cs="Times New Roman"/>
            <w:lang w:val="en-GB"/>
          </w:rPr>
          <w:t>https://ec.europa.eu/clima/policies/strategies/2030_en</w:t>
        </w:r>
      </w:hyperlink>
      <w:r>
        <w:rPr>
          <w:rFonts w:ascii="Times New Roman" w:hAnsi="Times New Roman" w:cs="Times New Roman"/>
          <w:lang w:val="en-GB"/>
        </w:rPr>
        <w:t xml:space="preserve"> </w:t>
      </w:r>
    </w:p>
  </w:footnote>
  <w:footnote w:id="33">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en-GB"/>
        </w:rPr>
        <w:t xml:space="preserve"> See </w:t>
      </w:r>
      <w:hyperlink r:id="rId7" w:history="1">
        <w:r>
          <w:rPr>
            <w:rStyle w:val="Hyperlink"/>
            <w:rFonts w:ascii="Times New Roman" w:hAnsi="Times New Roman" w:cs="Times New Roman"/>
            <w:lang w:val="en-GB"/>
          </w:rPr>
          <w:t>https://cohesiondata.ec.europa.eu/</w:t>
        </w:r>
      </w:hyperlink>
      <w:r>
        <w:rPr>
          <w:rFonts w:ascii="Times New Roman" w:hAnsi="Times New Roman" w:cs="Times New Roman"/>
          <w:lang w:val="en-GB"/>
        </w:rPr>
        <w:t xml:space="preserve"> </w:t>
      </w:r>
    </w:p>
  </w:footnote>
  <w:footnote w:id="34">
    <w:p w:rsidR="003D205C" w:rsidRDefault="0086548F">
      <w:pPr>
        <w:pStyle w:val="FootnoteText"/>
        <w:rPr>
          <w:lang w:val="en-GB"/>
        </w:rPr>
      </w:pPr>
      <w:r>
        <w:footnoteRef/>
      </w:r>
      <w:r>
        <w:rPr>
          <w:lang w:val="en-GB"/>
        </w:rPr>
        <w:t xml:space="preserve"> </w:t>
      </w:r>
      <w:r>
        <w:rPr>
          <w:rFonts w:ascii="Times New Roman" w:hAnsi="Times New Roman" w:cs="Times New Roman"/>
          <w:lang w:val="en-GB"/>
        </w:rPr>
        <w:t>Report by the company</w:t>
      </w:r>
      <w:r>
        <w:rPr>
          <w:lang w:val="en-GB"/>
        </w:rPr>
        <w:t xml:space="preserve"> </w:t>
      </w:r>
      <w:r>
        <w:rPr>
          <w:rFonts w:ascii="Times New Roman" w:hAnsi="Times New Roman" w:cs="Times New Roman"/>
          <w:i/>
          <w:lang w:val="en-GB"/>
        </w:rPr>
        <w:t>Ricardo Energy and Environment</w:t>
      </w:r>
      <w:r>
        <w:rPr>
          <w:rFonts w:ascii="Times New Roman" w:hAnsi="Times New Roman" w:cs="Times New Roman"/>
          <w:lang w:val="en-GB"/>
        </w:rPr>
        <w:t xml:space="preserve"> on a tracking methodology for air quality, f</w:t>
      </w:r>
      <w:r>
        <w:rPr>
          <w:rFonts w:ascii="Times New Roman" w:hAnsi="Times New Roman" w:cs="Times New Roman"/>
          <w:lang w:val="en-GB"/>
        </w:rPr>
        <w:t>orthcoming</w:t>
      </w:r>
    </w:p>
  </w:footnote>
  <w:footnote w:id="35">
    <w:p w:rsidR="003D205C" w:rsidRDefault="0086548F">
      <w:pPr>
        <w:pStyle w:val="FootnoteText"/>
        <w:spacing w:after="120"/>
        <w:rPr>
          <w:lang w:val="fr-BE"/>
        </w:rPr>
      </w:pPr>
      <w:r>
        <w:footnoteRef/>
      </w:r>
      <w:r>
        <w:rPr>
          <w:lang w:val="fr-BE"/>
        </w:rPr>
        <w:t xml:space="preserve"> </w:t>
      </w:r>
      <w:r>
        <w:rPr>
          <w:lang w:val="fr-BE"/>
        </w:rPr>
        <w:tab/>
        <w:t>COM(2018)321</w:t>
      </w:r>
    </w:p>
  </w:footnote>
  <w:footnote w:id="36">
    <w:p w:rsidR="003D205C" w:rsidRDefault="0086548F">
      <w:pPr>
        <w:pStyle w:val="FootnoteText"/>
        <w:rPr>
          <w:rFonts w:ascii="Times New Roman" w:hAnsi="Times New Roman" w:cs="Times New Roman"/>
          <w:lang w:val="en-GB"/>
        </w:rPr>
      </w:pPr>
      <w:r>
        <w:rPr>
          <w:rFonts w:ascii="Times New Roman" w:hAnsi="Times New Roman" w:cs="Times New Roman"/>
        </w:rPr>
        <w:footnoteRef/>
      </w:r>
      <w:r>
        <w:rPr>
          <w:rFonts w:ascii="Times New Roman" w:hAnsi="Times New Roman" w:cs="Times New Roman"/>
          <w:lang w:val="pt-PT"/>
        </w:rPr>
        <w:t xml:space="preserve"> CZ, FI, DE, NL, RO, SK, ES, SE.  </w:t>
      </w:r>
      <w:r>
        <w:rPr>
          <w:rFonts w:ascii="Times New Roman" w:hAnsi="Times New Roman" w:cs="Times New Roman"/>
          <w:lang w:val="en-GB"/>
        </w:rPr>
        <w:t xml:space="preserve">See also: </w:t>
      </w:r>
      <w:hyperlink r:id="rId8" w:history="1">
        <w:r>
          <w:rPr>
            <w:rStyle w:val="Hyperlink"/>
            <w:rFonts w:ascii="Times New Roman" w:hAnsi="Times New Roman" w:cs="Times New Roman"/>
            <w:lang w:val="en-GB"/>
          </w:rPr>
          <w:t>http://www.unece.org/env/lrtap/status/lrtap_s.html</w:t>
        </w:r>
      </w:hyperlink>
      <w:r>
        <w:rPr>
          <w:rFonts w:ascii="Times New Roman" w:hAnsi="Times New Roman" w:cs="Times New Roman"/>
          <w:lang w:val="en-GB"/>
        </w:rPr>
        <w:t xml:space="preserve"> </w:t>
      </w:r>
    </w:p>
    <w:p w:rsidR="003D205C" w:rsidRDefault="003D205C">
      <w:pPr>
        <w:pStyle w:val="FootnoteText"/>
        <w:rPr>
          <w:lang w:val="en-GB"/>
        </w:rPr>
      </w:pPr>
    </w:p>
  </w:footnote>
  <w:footnote w:id="37">
    <w:p w:rsidR="003D205C" w:rsidRDefault="0086548F">
      <w:pPr>
        <w:pStyle w:val="FootnoteText"/>
        <w:rPr>
          <w:lang w:val="pt-PT"/>
        </w:rPr>
      </w:pPr>
      <w:r>
        <w:footnoteRef/>
      </w:r>
      <w:r>
        <w:rPr>
          <w:lang w:val="pt-PT"/>
        </w:rPr>
        <w:t xml:space="preserve"> COM(2018) 330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F" w:rsidRPr="0086548F" w:rsidRDefault="0086548F" w:rsidP="008654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5C" w:rsidRDefault="003D20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5C" w:rsidRDefault="003D20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5C" w:rsidRDefault="003D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document COM (2018) 446 final of 7.6.2018._x000b__x000b_Concerns all language versions._x000b__x000b_Replacement of figure 2a on page 7 and of figure 5 on page 12_x000b_The text shall read as follows:_x000b_"/>
    <w:docVar w:name="LW_COVERPAGE_EXISTS" w:val="True"/>
    <w:docVar w:name="LW_COVERPAGE_GUID" w:val="1B04C2DC-C439-42E4-BFD0-F1187C9F3EE1"/>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HE FIRST CLEAN AIR OUTLOOK"/>
    <w:docVar w:name="LW_TYPE.DOC.CP" w:val="REPORT FROM THE COMMISSION TO THE EUROPEAN PARLIAMENT, THE COUNCIL, THE EUROPEAN ECONOMIC AND SOCIAL COMMITTEE AND THE COMMITTEE OF THE REGIONS"/>
  </w:docVars>
  <w:rsids>
    <w:rsidRoot w:val="003D205C"/>
    <w:rsid w:val="003D205C"/>
    <w:rsid w:val="0086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D5A51F9-910A-425E-9499-072389C4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emf"/><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en" TargetMode="External"/><Relationship Id="rId5" Type="http://schemas.openxmlformats.org/officeDocument/2006/relationships/hyperlink" Target="https://ec.europa.eu/clima/policies/strategies/2030_en"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3059-D2F8-4F53-AC61-6DB4EA2D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4755</Words>
  <Characters>25725</Characters>
  <Application>Microsoft Office Word</Application>
  <DocSecurity>0</DocSecurity>
  <Lines>525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BALSA GARCIA Maria Del Carmen (SG)</cp:lastModifiedBy>
  <cp:revision>16</cp:revision>
  <cp:lastPrinted>2018-05-25T05:58:00Z</cp:lastPrinted>
  <dcterms:created xsi:type="dcterms:W3CDTF">2019-01-10T12:42:00Z</dcterms:created>
  <dcterms:modified xsi:type="dcterms:W3CDTF">2019-01-29T14:19:00Z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