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5AF" w:rsidRDefault="00D30C28" w:rsidP="00D30C2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9F7F4D9-81A6-4F96-9D30-D74DA0756FC6" style="width:450.6pt;height:414.6pt">
            <v:imagedata r:id="rId8" o:title=""/>
          </v:shape>
        </w:pict>
      </w:r>
    </w:p>
    <w:bookmarkEnd w:id="0"/>
    <w:p w:rsidR="00F045AF" w:rsidRDefault="00F045AF">
      <w:pPr>
        <w:pStyle w:val="Pagedecouverture"/>
        <w:rPr>
          <w:noProof/>
          <w:lang w:val="en-GB" w:eastAsia="en-GB"/>
        </w:rPr>
        <w:sectPr w:rsidR="00F045AF" w:rsidSect="00D30C2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045AF" w:rsidRDefault="00D30C28">
      <w:pPr>
        <w:keepNext/>
        <w:tabs>
          <w:tab w:val="left" w:pos="850"/>
        </w:tabs>
        <w:spacing w:before="360" w:after="120" w:line="240" w:lineRule="auto"/>
        <w:jc w:val="center"/>
        <w:outlineLvl w:val="0"/>
        <w:rPr>
          <w:rFonts w:ascii="Times New Roman" w:eastAsia="Times New Roman" w:hAnsi="Times New Roman" w:cs="Times New Roman"/>
          <w:b/>
          <w:smallCaps/>
          <w:noProof/>
          <w:sz w:val="24"/>
          <w:szCs w:val="20"/>
        </w:rPr>
      </w:pPr>
      <w:bookmarkStart w:id="1" w:name="_Toc359571817"/>
      <w:bookmarkStart w:id="2" w:name="_Toc359483856"/>
      <w:bookmarkStart w:id="3" w:name="_Toc359596073"/>
      <w:bookmarkStart w:id="4" w:name="_GoBack"/>
      <w:bookmarkEnd w:id="1"/>
      <w:bookmarkEnd w:id="4"/>
      <w:r>
        <w:rPr>
          <w:rFonts w:ascii="Times New Roman" w:hAnsi="Times New Roman"/>
          <w:b/>
          <w:smallCaps/>
          <w:noProof/>
          <w:sz w:val="24"/>
          <w:szCs w:val="20"/>
        </w:rPr>
        <w:lastRenderedPageBreak/>
        <w:t>Premières perspectives en matière d’air pur</w:t>
      </w:r>
    </w:p>
    <w:p w:rsidR="00F045AF" w:rsidRDefault="00D30C28">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Introduction</w:t>
      </w:r>
      <w:bookmarkEnd w:id="2"/>
      <w:bookmarkEnd w:id="3"/>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pollution atmosphérique constitue toujours un problème environnemental et sanitaire</w:t>
      </w:r>
      <w:r>
        <w:rPr>
          <w:rFonts w:ascii="Times New Roman" w:hAnsi="Times New Roman"/>
          <w:noProof/>
          <w:sz w:val="24"/>
          <w:szCs w:val="20"/>
        </w:rPr>
        <w:t xml:space="preserve"> majeur au sein de l’Union européenne (UE).  De nombreuses villes européennes souffrent de la mauvaise qualité de l’air et dépassent les normes de l’UE établies dans la directive 2008/50/CE</w:t>
      </w:r>
      <w:r>
        <w:rPr>
          <w:rFonts w:ascii="Times New Roman" w:eastAsia="Times New Roman" w:hAnsi="Times New Roman" w:cs="Times New Roman"/>
          <w:noProof/>
          <w:sz w:val="24"/>
          <w:szCs w:val="20"/>
          <w:vertAlign w:val="superscript"/>
          <w:lang w:val="en-GB" w:eastAsia="en-GB"/>
        </w:rPr>
        <w:footnoteReference w:id="1"/>
      </w:r>
      <w:r>
        <w:rPr>
          <w:rFonts w:ascii="Times New Roman" w:hAnsi="Times New Roman"/>
          <w:noProof/>
          <w:sz w:val="24"/>
          <w:szCs w:val="20"/>
        </w:rPr>
        <w:t xml:space="preserve"> concernant la qualité de l’air ambiant, et encore davantage de vi</w:t>
      </w:r>
      <w:r>
        <w:rPr>
          <w:rFonts w:ascii="Times New Roman" w:hAnsi="Times New Roman"/>
          <w:noProof/>
          <w:sz w:val="24"/>
          <w:szCs w:val="20"/>
        </w:rPr>
        <w:t>lles dépassent les orientations de l’Organisation mondiale de la santé (OMS). L’Agence européenne pour l’environnement a estimé que près de 400 000 personnes étaient décédées prématurément dans l’UE en 2015 en raison de la pollution atmosphérique</w:t>
      </w:r>
      <w:r>
        <w:rPr>
          <w:rFonts w:ascii="Times New Roman" w:eastAsia="Times New Roman" w:hAnsi="Times New Roman" w:cs="Times New Roman"/>
          <w:noProof/>
          <w:sz w:val="24"/>
          <w:szCs w:val="20"/>
          <w:vertAlign w:val="superscript"/>
          <w:lang w:val="en-GB" w:eastAsia="en-GB"/>
        </w:rPr>
        <w:footnoteReference w:id="2"/>
      </w:r>
      <w:r>
        <w:rPr>
          <w:rFonts w:ascii="Times New Roman" w:hAnsi="Times New Roman"/>
          <w:noProof/>
          <w:sz w:val="24"/>
          <w:szCs w:val="20"/>
        </w:rPr>
        <w:t>.</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révi</w:t>
      </w:r>
      <w:r>
        <w:rPr>
          <w:rFonts w:ascii="Times New Roman" w:hAnsi="Times New Roman"/>
          <w:noProof/>
          <w:sz w:val="24"/>
          <w:szCs w:val="20"/>
        </w:rPr>
        <w:t>sion par l’UE de la politique en matière de qualité de l’air réalisée entre 2011 et 2013 a débouché sur le train de mesures sur la qualité de l’air de décembre 2013</w:t>
      </w:r>
      <w:r>
        <w:rPr>
          <w:rFonts w:ascii="Times New Roman" w:eastAsia="Times New Roman" w:hAnsi="Times New Roman" w:cs="Times New Roman"/>
          <w:noProof/>
          <w:sz w:val="24"/>
          <w:szCs w:val="20"/>
          <w:vertAlign w:val="superscript"/>
          <w:lang w:val="en-GB" w:eastAsia="en-GB"/>
        </w:rPr>
        <w:footnoteReference w:id="3"/>
      </w:r>
      <w:r>
        <w:rPr>
          <w:rFonts w:ascii="Times New Roman" w:hAnsi="Times New Roman"/>
          <w:noProof/>
          <w:sz w:val="24"/>
          <w:szCs w:val="20"/>
        </w:rPr>
        <w:t>.  Ce dernier comprenait une communication (programme «Air pur pour l’Europe»</w:t>
      </w:r>
      <w:r>
        <w:rPr>
          <w:rFonts w:ascii="Times New Roman" w:eastAsia="Times New Roman" w:hAnsi="Times New Roman" w:cs="Times New Roman"/>
          <w:noProof/>
          <w:sz w:val="24"/>
          <w:szCs w:val="20"/>
          <w:vertAlign w:val="superscript"/>
          <w:lang w:val="en-GB" w:eastAsia="en-GB"/>
        </w:rPr>
        <w:footnoteReference w:id="4"/>
      </w:r>
      <w:r>
        <w:rPr>
          <w:rFonts w:ascii="Times New Roman" w:hAnsi="Times New Roman"/>
          <w:noProof/>
          <w:sz w:val="24"/>
          <w:szCs w:val="20"/>
        </w:rPr>
        <w:t>) et trois pr</w:t>
      </w:r>
      <w:r>
        <w:rPr>
          <w:rFonts w:ascii="Times New Roman" w:hAnsi="Times New Roman"/>
          <w:noProof/>
          <w:sz w:val="24"/>
          <w:szCs w:val="20"/>
        </w:rPr>
        <w:t>opositions législatives visant respectivement: à réduire les émissions provenant des installations de combustion moyennes [proposition adoptée par la directive (UE) 2015/2193</w:t>
      </w:r>
      <w:r>
        <w:rPr>
          <w:rFonts w:ascii="Times New Roman" w:eastAsia="Times New Roman" w:hAnsi="Times New Roman" w:cs="Times New Roman"/>
          <w:noProof/>
          <w:sz w:val="24"/>
          <w:szCs w:val="20"/>
          <w:vertAlign w:val="superscript"/>
          <w:lang w:val="en-GB" w:eastAsia="en-GB"/>
        </w:rPr>
        <w:footnoteReference w:id="5"/>
      </w:r>
      <w:r>
        <w:rPr>
          <w:rFonts w:ascii="Times New Roman" w:hAnsi="Times New Roman"/>
          <w:noProof/>
          <w:sz w:val="24"/>
          <w:szCs w:val="20"/>
        </w:rPr>
        <w:t xml:space="preserve"> (ci-après la «DICM»)]; à ratifier l’amendement au protocole de Göteborg de 2012 </w:t>
      </w:r>
      <w:r>
        <w:rPr>
          <w:rFonts w:ascii="Times New Roman" w:hAnsi="Times New Roman"/>
          <w:noProof/>
          <w:sz w:val="24"/>
          <w:szCs w:val="20"/>
        </w:rPr>
        <w:t>établissant des réductions des émissions pour 2020 [proposition adoptée par la décision (UE) 2017/1557 du Conseil</w:t>
      </w:r>
      <w:r>
        <w:rPr>
          <w:rFonts w:ascii="Times New Roman" w:eastAsia="Times New Roman" w:hAnsi="Times New Roman" w:cs="Times New Roman"/>
          <w:noProof/>
          <w:sz w:val="24"/>
          <w:szCs w:val="20"/>
          <w:vertAlign w:val="superscript"/>
          <w:lang w:val="en-GB" w:eastAsia="en-GB"/>
        </w:rPr>
        <w:footnoteReference w:id="6"/>
      </w:r>
      <w:r>
        <w:rPr>
          <w:rFonts w:ascii="Times New Roman" w:hAnsi="Times New Roman"/>
          <w:noProof/>
          <w:sz w:val="24"/>
          <w:szCs w:val="20"/>
        </w:rPr>
        <w:t xml:space="preserve">]; et à établir de nouveaux engagements nationaux de réduction pour 2030 dans une nouvelle directive concernant la réduction des émissions de </w:t>
      </w:r>
      <w:r>
        <w:rPr>
          <w:rFonts w:ascii="Times New Roman" w:hAnsi="Times New Roman"/>
          <w:noProof/>
          <w:sz w:val="24"/>
          <w:szCs w:val="20"/>
        </w:rPr>
        <w:t>certains polluants atmosphériques [proposition adoptée par la directive (UE) 2016/2284</w:t>
      </w:r>
      <w:r>
        <w:rPr>
          <w:rFonts w:ascii="Times New Roman" w:eastAsia="Times New Roman" w:hAnsi="Times New Roman" w:cs="Times New Roman"/>
          <w:noProof/>
          <w:sz w:val="24"/>
          <w:szCs w:val="20"/>
          <w:vertAlign w:val="superscript"/>
          <w:lang w:val="en-GB" w:eastAsia="en-GB"/>
        </w:rPr>
        <w:footnoteReference w:id="7"/>
      </w:r>
      <w:r>
        <w:rPr>
          <w:rFonts w:ascii="Times New Roman" w:hAnsi="Times New Roman"/>
          <w:noProof/>
          <w:sz w:val="24"/>
          <w:szCs w:val="20"/>
        </w:rPr>
        <w:t xml:space="preserve"> (la «directive PEN»)]. </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Le programme «Air pur pour l’Europe» de 2013 a proposé l’instauration d’un rapport régulier de la situation en matière de qualité de l’air en </w:t>
      </w:r>
      <w:r>
        <w:rPr>
          <w:rFonts w:ascii="Times New Roman" w:hAnsi="Times New Roman"/>
          <w:noProof/>
          <w:sz w:val="24"/>
          <w:szCs w:val="20"/>
        </w:rPr>
        <w:t>Europe, couvrant les perspectives liées à la réduction des émissions et les progrès en vue de la réalisation des objectifs de l’UE. Avec l’adoption de la directive PEN en décembre 2016, la base analytique a été mise à jour et cette première édition des «Pe</w:t>
      </w:r>
      <w:r>
        <w:rPr>
          <w:rFonts w:ascii="Times New Roman" w:hAnsi="Times New Roman"/>
          <w:noProof/>
          <w:sz w:val="24"/>
          <w:szCs w:val="20"/>
        </w:rPr>
        <w:t>rspectives en matière d’air pur» vise à remplir cette mission et à créer un cadre pour les travaux des États membres portant sur le développement des programmes nationaux de lutte contre la pollution atmosphérique prévus pour le 1</w:t>
      </w:r>
      <w:r>
        <w:rPr>
          <w:rFonts w:ascii="Times New Roman" w:hAnsi="Times New Roman"/>
          <w:noProof/>
          <w:sz w:val="24"/>
          <w:szCs w:val="20"/>
          <w:vertAlign w:val="superscript"/>
        </w:rPr>
        <w:t>er</w:t>
      </w:r>
      <w:r>
        <w:rPr>
          <w:rFonts w:ascii="Times New Roman" w:hAnsi="Times New Roman"/>
          <w:noProof/>
          <w:sz w:val="24"/>
          <w:szCs w:val="20"/>
        </w:rPr>
        <w:t> avril 2019, au titre de</w:t>
      </w:r>
      <w:r>
        <w:rPr>
          <w:rFonts w:ascii="Times New Roman" w:hAnsi="Times New Roman"/>
          <w:noProof/>
          <w:sz w:val="24"/>
          <w:szCs w:val="20"/>
        </w:rPr>
        <w:t xml:space="preserve"> la directive PEN.</w:t>
      </w:r>
    </w:p>
    <w:p w:rsidR="00F045AF" w:rsidRDefault="00D30C28">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La situation de la qualité de l’air dans l’UE et les progrès réalisés en vue de parvenir au respect des valeurs limites d’ici 2020</w:t>
      </w:r>
    </w:p>
    <w:p w:rsidR="00F045AF" w:rsidRDefault="00D30C28">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La situation en matière de qualité de l’air et les émissions atmosphériques actuelles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 tendance positive</w:t>
      </w:r>
      <w:r>
        <w:rPr>
          <w:rFonts w:ascii="Times New Roman" w:hAnsi="Times New Roman"/>
          <w:noProof/>
          <w:sz w:val="24"/>
          <w:szCs w:val="20"/>
        </w:rPr>
        <w:t xml:space="preserve"> observée dans la réduction des principaux polluants atmosphériques dans l’UE s’est poursuivie, comme le montre le graphique 1 ci-après, à l’instar de la dissociation de la croissance économique. Dans l’ensemble, pendant la période 2000-2015, le PIB global</w:t>
      </w:r>
      <w:r>
        <w:rPr>
          <w:rFonts w:ascii="Times New Roman" w:hAnsi="Times New Roman"/>
          <w:noProof/>
          <w:sz w:val="24"/>
          <w:szCs w:val="20"/>
        </w:rPr>
        <w:t xml:space="preserve"> de l’UE a augmenté de 32 %, tandis que les émissions des principaux polluants atmosphériques ont baissé de 10 % [pour l’ammoniaque (NH</w:t>
      </w:r>
      <w:r>
        <w:rPr>
          <w:rFonts w:ascii="Times New Roman" w:hAnsi="Times New Roman"/>
          <w:noProof/>
          <w:sz w:val="24"/>
          <w:szCs w:val="20"/>
          <w:vertAlign w:val="subscript"/>
        </w:rPr>
        <w:t>3</w:t>
      </w:r>
      <w:r>
        <w:rPr>
          <w:rFonts w:ascii="Times New Roman" w:hAnsi="Times New Roman"/>
          <w:noProof/>
          <w:sz w:val="24"/>
          <w:szCs w:val="20"/>
        </w:rPr>
        <w:t>)] et de 70 % [pour les oxydes de soufre (SO</w:t>
      </w:r>
      <w:r>
        <w:rPr>
          <w:rFonts w:ascii="Times New Roman" w:hAnsi="Times New Roman"/>
          <w:noProof/>
          <w:sz w:val="24"/>
          <w:szCs w:val="20"/>
          <w:vertAlign w:val="subscript"/>
        </w:rPr>
        <w:t>x</w:t>
      </w:r>
      <w:r>
        <w:rPr>
          <w:rFonts w:ascii="Times New Roman" w:hAnsi="Times New Roman"/>
          <w:noProof/>
          <w:sz w:val="24"/>
          <w:szCs w:val="20"/>
        </w:rPr>
        <w:t>)].</w:t>
      </w:r>
    </w:p>
    <w:p w:rsidR="00F045AF" w:rsidRDefault="00D30C28">
      <w:pPr>
        <w:spacing w:before="120" w:after="120" w:line="240" w:lineRule="auto"/>
        <w:jc w:val="both"/>
        <w:rPr>
          <w:rFonts w:ascii="Times New Roman" w:eastAsia="Times New Roman" w:hAnsi="Times New Roman" w:cs="Times New Roman"/>
          <w:b/>
          <w:noProof/>
        </w:rPr>
      </w:pPr>
      <w:r>
        <w:rPr>
          <w:rFonts w:ascii="Times New Roman" w:hAnsi="Times New Roman"/>
          <w:b/>
          <w:noProof/>
        </w:rPr>
        <w:t>Graphique 1: Évolution des émissions de l’UE-28 pour la période 2000-20</w:t>
      </w:r>
      <w:r>
        <w:rPr>
          <w:rFonts w:ascii="Times New Roman" w:hAnsi="Times New Roman"/>
          <w:b/>
          <w:noProof/>
        </w:rPr>
        <w:t>15 (en pourcentage des niveaux de 2000) [Source: AEE]</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lang w:val="en-GB" w:eastAsia="en-GB"/>
        </w:rPr>
        <w:drawing>
          <wp:inline distT="0" distB="0" distL="0" distR="0">
            <wp:extent cx="5591175" cy="2619375"/>
            <wp:effectExtent l="19050" t="19050" r="28575"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2619375"/>
                    </a:xfrm>
                    <a:prstGeom prst="rect">
                      <a:avLst/>
                    </a:prstGeom>
                    <a:noFill/>
                    <a:ln w="6350" cmpd="sng">
                      <a:solidFill>
                        <a:srgbClr val="000000"/>
                      </a:solidFill>
                      <a:miter lim="800000"/>
                      <a:headEnd/>
                      <a:tailEnd/>
                    </a:ln>
                    <a:effectLst/>
                  </pic:spPr>
                </pic:pic>
              </a:graphicData>
            </a:graphic>
          </wp:inline>
        </w:drawing>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Toutefois, des problèmes majeurs persistent en ce qui concerne le dépassement des valeurs limites relatives à la qualité de l’air de l’UE. En ce qui concerne l’année 2015, soit la toute dernière année</w:t>
      </w:r>
      <w:r>
        <w:rPr>
          <w:rFonts w:ascii="Times New Roman" w:hAnsi="Times New Roman"/>
          <w:noProof/>
          <w:sz w:val="24"/>
          <w:szCs w:val="20"/>
        </w:rPr>
        <w:t xml:space="preserve"> de déclaration, près de 20 % de la population urbaine de l’UE-28 a été exposée à des niveaux supérieurs à la valeur limite journalière de l’UE pour les particules (PM</w:t>
      </w:r>
      <w:r>
        <w:rPr>
          <w:rFonts w:ascii="Times New Roman" w:hAnsi="Times New Roman"/>
          <w:noProof/>
          <w:sz w:val="24"/>
          <w:szCs w:val="20"/>
          <w:vertAlign w:val="subscript"/>
        </w:rPr>
        <w:t>10</w:t>
      </w:r>
      <w:r>
        <w:rPr>
          <w:rFonts w:ascii="Times New Roman" w:hAnsi="Times New Roman"/>
          <w:noProof/>
          <w:sz w:val="24"/>
          <w:szCs w:val="20"/>
        </w:rPr>
        <w:t>). En ce qui concerne les particules fines (PM</w:t>
      </w:r>
      <w:r>
        <w:rPr>
          <w:rFonts w:ascii="Times New Roman" w:hAnsi="Times New Roman"/>
          <w:noProof/>
          <w:sz w:val="24"/>
          <w:szCs w:val="20"/>
          <w:vertAlign w:val="subscript"/>
        </w:rPr>
        <w:t>2,5</w:t>
      </w:r>
      <w:r>
        <w:rPr>
          <w:rFonts w:ascii="Times New Roman" w:hAnsi="Times New Roman"/>
          <w:noProof/>
          <w:sz w:val="24"/>
          <w:szCs w:val="20"/>
        </w:rPr>
        <w:t>), près de 8 % de la population urbain</w:t>
      </w:r>
      <w:r>
        <w:rPr>
          <w:rFonts w:ascii="Times New Roman" w:hAnsi="Times New Roman"/>
          <w:noProof/>
          <w:sz w:val="24"/>
          <w:szCs w:val="20"/>
        </w:rPr>
        <w:t>e a été exposée à des concentrations supérieures à la valeur limite de l’UE fixée à 25 µg/m</w:t>
      </w:r>
      <w:r>
        <w:rPr>
          <w:rFonts w:ascii="Times New Roman" w:hAnsi="Times New Roman"/>
          <w:noProof/>
          <w:sz w:val="24"/>
          <w:szCs w:val="20"/>
          <w:vertAlign w:val="superscript"/>
        </w:rPr>
        <w:t>3</w:t>
      </w:r>
      <w:r>
        <w:rPr>
          <w:rFonts w:ascii="Times New Roman" w:hAnsi="Times New Roman"/>
          <w:noProof/>
          <w:sz w:val="24"/>
          <w:szCs w:val="20"/>
        </w:rPr>
        <w:t xml:space="preserve"> et plus de 82 % de cette même population a été exposée à des niveaux supérieurs à la valeur de référence bien plus stricte de la directive de l’OMS, laquelle est f</w:t>
      </w:r>
      <w:r>
        <w:rPr>
          <w:rFonts w:ascii="Times New Roman" w:hAnsi="Times New Roman"/>
          <w:noProof/>
          <w:sz w:val="24"/>
          <w:szCs w:val="20"/>
        </w:rPr>
        <w:t>ixée à 10 µg/m</w:t>
      </w:r>
      <w:r>
        <w:rPr>
          <w:rFonts w:ascii="Times New Roman" w:hAnsi="Times New Roman"/>
          <w:noProof/>
          <w:sz w:val="24"/>
          <w:szCs w:val="20"/>
          <w:vertAlign w:val="superscript"/>
        </w:rPr>
        <w:t>3</w:t>
      </w:r>
      <w:r>
        <w:rPr>
          <w:rFonts w:ascii="Times New Roman" w:hAnsi="Times New Roman"/>
          <w:noProof/>
          <w:sz w:val="24"/>
          <w:szCs w:val="20"/>
        </w:rPr>
        <w:t>.</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En ce qui concerne le dioxyde d’azote (NO</w:t>
      </w:r>
      <w:r>
        <w:rPr>
          <w:rFonts w:ascii="Times New Roman" w:hAnsi="Times New Roman"/>
          <w:noProof/>
          <w:sz w:val="24"/>
          <w:szCs w:val="20"/>
          <w:vertAlign w:val="subscript"/>
        </w:rPr>
        <w:t>2</w:t>
      </w:r>
      <w:r>
        <w:rPr>
          <w:rFonts w:ascii="Times New Roman" w:hAnsi="Times New Roman"/>
          <w:noProof/>
          <w:sz w:val="24"/>
          <w:szCs w:val="20"/>
        </w:rPr>
        <w:t>), la valeur limite annuelle continue d’être largement dépassée dans toute l’Europe; 22 États membres présentent des concentrations supérieures à la limite, identique pour l’UE et l’OMS, auxquelles</w:t>
      </w:r>
      <w:r>
        <w:rPr>
          <w:rFonts w:ascii="Times New Roman" w:hAnsi="Times New Roman"/>
          <w:noProof/>
          <w:sz w:val="24"/>
          <w:szCs w:val="20"/>
        </w:rPr>
        <w:t xml:space="preserve"> près de 9 % de la population urbaine est exposée.</w:t>
      </w:r>
    </w:p>
    <w:p w:rsidR="00F045AF" w:rsidRDefault="00D30C28">
      <w:pPr>
        <w:spacing w:after="0" w:line="240" w:lineRule="auto"/>
        <w:rPr>
          <w:rFonts w:ascii="Times New Roman" w:eastAsia="Times New Roman" w:hAnsi="Times New Roman" w:cs="Times New Roman"/>
          <w:noProof/>
          <w:sz w:val="24"/>
          <w:szCs w:val="20"/>
        </w:rPr>
      </w:pPr>
      <w:r>
        <w:rPr>
          <w:rFonts w:ascii="Times New Roman" w:hAnsi="Times New Roman"/>
          <w:noProof/>
          <w:sz w:val="24"/>
          <w:szCs w:val="20"/>
        </w:rPr>
        <w:t xml:space="preserve">En ce qui concerne l’ozone, 18 États membres ont enregistré des concentrations supérieures à la valeur cible de l’UE et près de 30 % de la population urbaine vit dans des zones où la valeur cible a été </w:t>
      </w:r>
      <w:r>
        <w:rPr>
          <w:rFonts w:ascii="Times New Roman" w:hAnsi="Times New Roman"/>
          <w:noProof/>
          <w:sz w:val="24"/>
          <w:szCs w:val="20"/>
        </w:rPr>
        <w:t>dépassée, tandis que plus de 95 % de celle-ci vit dans des zones où la valeur de référence plus stricte de l’OMS a été dépassée</w:t>
      </w:r>
      <w:r>
        <w:rPr>
          <w:rFonts w:ascii="Times New Roman" w:eastAsia="Times New Roman" w:hAnsi="Times New Roman" w:cs="Times New Roman"/>
          <w:noProof/>
          <w:sz w:val="24"/>
          <w:szCs w:val="20"/>
          <w:vertAlign w:val="superscript"/>
          <w:lang w:val="en-GB" w:eastAsia="en-GB"/>
        </w:rPr>
        <w:footnoteReference w:id="8"/>
      </w:r>
      <w:r>
        <w:rPr>
          <w:rFonts w:ascii="Times New Roman" w:hAnsi="Times New Roman"/>
          <w:noProof/>
          <w:sz w:val="24"/>
          <w:szCs w:val="20"/>
        </w:rPr>
        <w:t>.</w:t>
      </w:r>
    </w:p>
    <w:p w:rsidR="00F045AF" w:rsidRDefault="00D30C28">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Progrès réalisés en vue de parvenir au respect des valeurs limites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émissions d’oxydes d’azote (NO</w:t>
      </w:r>
      <w:r>
        <w:rPr>
          <w:rFonts w:ascii="Times New Roman" w:hAnsi="Times New Roman"/>
          <w:noProof/>
          <w:sz w:val="24"/>
          <w:szCs w:val="20"/>
          <w:vertAlign w:val="subscript"/>
        </w:rPr>
        <w:t>x</w:t>
      </w:r>
      <w:r>
        <w:rPr>
          <w:rFonts w:ascii="Times New Roman" w:hAnsi="Times New Roman"/>
          <w:noProof/>
          <w:sz w:val="24"/>
          <w:szCs w:val="20"/>
        </w:rPr>
        <w:t>) des voitures particuli</w:t>
      </w:r>
      <w:r>
        <w:rPr>
          <w:rFonts w:ascii="Times New Roman" w:hAnsi="Times New Roman"/>
          <w:noProof/>
          <w:sz w:val="24"/>
          <w:szCs w:val="20"/>
        </w:rPr>
        <w:t>ères à moteur diesel et des véhicules utilitaires légers, qui sont systématiquement bien supérieures aux valeurs limites des véhicules réceptionnés par type, constituent un facteur majeur de non-respect de la valeur limite applicable aux émissions de NO</w:t>
      </w:r>
      <w:r>
        <w:rPr>
          <w:rFonts w:ascii="Times New Roman" w:hAnsi="Times New Roman"/>
          <w:noProof/>
          <w:sz w:val="24"/>
          <w:szCs w:val="20"/>
          <w:vertAlign w:val="subscript"/>
        </w:rPr>
        <w:t>2</w:t>
      </w:r>
      <w:r>
        <w:rPr>
          <w:rFonts w:ascii="Times New Roman" w:hAnsi="Times New Roman"/>
          <w:noProof/>
          <w:sz w:val="24"/>
          <w:szCs w:val="20"/>
        </w:rPr>
        <w:t xml:space="preserve">. </w:t>
      </w:r>
      <w:r>
        <w:rPr>
          <w:rFonts w:ascii="Times New Roman" w:hAnsi="Times New Roman"/>
          <w:noProof/>
          <w:sz w:val="24"/>
          <w:szCs w:val="20"/>
        </w:rPr>
        <w:t>L’adoption récente, en 2017, d’une nouvelle procédure d’essai à l'échelon de l’UE tenant compte des émissions en conditions de conduite réelles de ces véhicules</w:t>
      </w:r>
      <w:r>
        <w:rPr>
          <w:rFonts w:ascii="Times New Roman" w:eastAsia="Times New Roman" w:hAnsi="Times New Roman" w:cs="Times New Roman"/>
          <w:noProof/>
          <w:sz w:val="24"/>
          <w:szCs w:val="20"/>
          <w:vertAlign w:val="superscript"/>
          <w:lang w:val="en-GB" w:eastAsia="en-GB"/>
        </w:rPr>
        <w:footnoteReference w:id="9"/>
      </w:r>
      <w:r>
        <w:rPr>
          <w:rFonts w:ascii="Times New Roman" w:hAnsi="Times New Roman"/>
          <w:noProof/>
          <w:sz w:val="24"/>
          <w:szCs w:val="20"/>
        </w:rPr>
        <w:t xml:space="preserve"> et la proposition de 2016 de la Commission de révision du système de réception par type</w:t>
      </w:r>
      <w:r>
        <w:rPr>
          <w:rFonts w:ascii="Times New Roman" w:eastAsia="Times New Roman" w:hAnsi="Times New Roman" w:cs="Times New Roman"/>
          <w:noProof/>
          <w:sz w:val="24"/>
          <w:szCs w:val="20"/>
          <w:vertAlign w:val="superscript"/>
          <w:lang w:val="en-GB" w:eastAsia="en-GB"/>
        </w:rPr>
        <w:footnoteReference w:id="10"/>
      </w:r>
      <w:r>
        <w:rPr>
          <w:rFonts w:ascii="Times New Roman" w:hAnsi="Times New Roman"/>
          <w:noProof/>
          <w:sz w:val="24"/>
          <w:szCs w:val="20"/>
        </w:rPr>
        <w:t xml:space="preserve"> contr</w:t>
      </w:r>
      <w:r>
        <w:rPr>
          <w:rFonts w:ascii="Times New Roman" w:hAnsi="Times New Roman"/>
          <w:noProof/>
          <w:sz w:val="24"/>
          <w:szCs w:val="20"/>
        </w:rPr>
        <w:t>ibueront à la réalisation d’avancées en la matière.</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mesures en faveur du respect de la valeur limite applicable aux émissions de PM</w:t>
      </w:r>
      <w:r>
        <w:rPr>
          <w:rFonts w:ascii="Times New Roman" w:hAnsi="Times New Roman"/>
          <w:noProof/>
          <w:sz w:val="24"/>
          <w:szCs w:val="20"/>
          <w:vertAlign w:val="subscript"/>
        </w:rPr>
        <w:t>10</w:t>
      </w:r>
      <w:r>
        <w:rPr>
          <w:rFonts w:ascii="Times New Roman" w:hAnsi="Times New Roman"/>
          <w:noProof/>
          <w:sz w:val="24"/>
          <w:szCs w:val="20"/>
        </w:rPr>
        <w:t xml:space="preserve"> comprennent la pénétration progressive de filtres à particules afin de respecter les valeurs limites des émissions de </w:t>
      </w:r>
      <w:r>
        <w:rPr>
          <w:rFonts w:ascii="Times New Roman" w:hAnsi="Times New Roman"/>
          <w:noProof/>
          <w:sz w:val="24"/>
          <w:szCs w:val="20"/>
        </w:rPr>
        <w:t>particules applicables aux voitures particulières (reprises dans Euro 5 et Euro 6</w:t>
      </w:r>
      <w:r>
        <w:rPr>
          <w:rFonts w:ascii="Times New Roman" w:eastAsia="Times New Roman" w:hAnsi="Times New Roman" w:cs="Times New Roman"/>
          <w:noProof/>
          <w:sz w:val="24"/>
          <w:szCs w:val="20"/>
          <w:vertAlign w:val="superscript"/>
          <w:lang w:val="en-GB" w:eastAsia="en-GB"/>
        </w:rPr>
        <w:footnoteReference w:id="11"/>
      </w:r>
      <w:r>
        <w:rPr>
          <w:rFonts w:ascii="Times New Roman" w:hAnsi="Times New Roman"/>
          <w:noProof/>
          <w:sz w:val="24"/>
          <w:szCs w:val="20"/>
        </w:rPr>
        <w:t>) ainsi que les contrôles sur les installations de combustion au titre de la directive relative aux émissions industrielles (DEI)</w:t>
      </w:r>
      <w:r>
        <w:rPr>
          <w:rFonts w:ascii="Times New Roman" w:eastAsia="Times New Roman" w:hAnsi="Times New Roman" w:cs="Times New Roman"/>
          <w:noProof/>
          <w:sz w:val="24"/>
          <w:szCs w:val="20"/>
          <w:vertAlign w:val="superscript"/>
          <w:lang w:val="en-GB" w:eastAsia="en-GB"/>
        </w:rPr>
        <w:footnoteReference w:id="12"/>
      </w:r>
      <w:r>
        <w:rPr>
          <w:rFonts w:ascii="Times New Roman" w:hAnsi="Times New Roman"/>
          <w:noProof/>
          <w:sz w:val="24"/>
          <w:szCs w:val="20"/>
        </w:rPr>
        <w:t xml:space="preserve"> et de la DICM.  Bien que les exigences d’éc</w:t>
      </w:r>
      <w:r>
        <w:rPr>
          <w:rFonts w:ascii="Times New Roman" w:hAnsi="Times New Roman"/>
          <w:noProof/>
          <w:sz w:val="24"/>
          <w:szCs w:val="20"/>
        </w:rPr>
        <w:t>oconception des poêles</w:t>
      </w:r>
      <w:r>
        <w:rPr>
          <w:rFonts w:ascii="Times New Roman" w:eastAsia="Times New Roman" w:hAnsi="Times New Roman" w:cs="Times New Roman"/>
          <w:noProof/>
          <w:sz w:val="24"/>
          <w:szCs w:val="20"/>
          <w:vertAlign w:val="superscript"/>
          <w:lang w:val="en-GB" w:eastAsia="en-GB"/>
        </w:rPr>
        <w:footnoteReference w:id="13"/>
      </w:r>
      <w:r>
        <w:rPr>
          <w:rFonts w:ascii="Times New Roman" w:hAnsi="Times New Roman"/>
          <w:noProof/>
          <w:sz w:val="24"/>
          <w:szCs w:val="20"/>
        </w:rPr>
        <w:t xml:space="preserve"> et des chaudières</w:t>
      </w:r>
      <w:r>
        <w:rPr>
          <w:rFonts w:ascii="Times New Roman" w:eastAsia="Times New Roman" w:hAnsi="Times New Roman" w:cs="Times New Roman"/>
          <w:noProof/>
          <w:sz w:val="24"/>
          <w:szCs w:val="20"/>
          <w:vertAlign w:val="superscript"/>
          <w:lang w:val="en-GB" w:eastAsia="en-GB"/>
        </w:rPr>
        <w:footnoteReference w:id="14"/>
      </w:r>
      <w:r>
        <w:rPr>
          <w:rFonts w:ascii="Times New Roman" w:hAnsi="Times New Roman"/>
          <w:noProof/>
          <w:sz w:val="24"/>
          <w:szCs w:val="20"/>
        </w:rPr>
        <w:t xml:space="preserve"> à combustible solide convenues au niveau de l’Union en 2015 ne s’appliquent qu’après 2020, un certain nombre d’États membres les ont introduites de manière proactive avant la date limite (c’est le cas de la Pologn</w:t>
      </w:r>
      <w:r>
        <w:rPr>
          <w:rFonts w:ascii="Times New Roman" w:hAnsi="Times New Roman"/>
          <w:noProof/>
          <w:sz w:val="24"/>
          <w:szCs w:val="20"/>
        </w:rPr>
        <w:t>e, par exemple) afin qu’elles contribuent à réduire les émissions de PM, de composés organiques volatils (COV) et de NO</w:t>
      </w:r>
      <w:r>
        <w:rPr>
          <w:rFonts w:ascii="Times New Roman" w:hAnsi="Times New Roman"/>
          <w:noProof/>
          <w:sz w:val="24"/>
          <w:szCs w:val="20"/>
          <w:vertAlign w:val="subscript"/>
        </w:rPr>
        <w:t>x</w:t>
      </w:r>
      <w:r>
        <w:rPr>
          <w:rFonts w:ascii="Times New Roman" w:hAnsi="Times New Roman"/>
          <w:noProof/>
          <w:sz w:val="24"/>
          <w:szCs w:val="20"/>
        </w:rPr>
        <w:t>. En outre, l’écoconception et les autres exigences visant à renforcer l’efficacité énergétique (établis notamment par la directive de 2</w:t>
      </w:r>
      <w:r>
        <w:rPr>
          <w:rFonts w:ascii="Times New Roman" w:hAnsi="Times New Roman"/>
          <w:noProof/>
          <w:sz w:val="24"/>
          <w:szCs w:val="20"/>
        </w:rPr>
        <w:t>010 sur la performance énergétique des bâtiments</w:t>
      </w:r>
      <w:r>
        <w:rPr>
          <w:rFonts w:ascii="Times New Roman" w:eastAsia="Times New Roman" w:hAnsi="Times New Roman" w:cs="Times New Roman"/>
          <w:noProof/>
          <w:sz w:val="24"/>
          <w:szCs w:val="20"/>
          <w:vertAlign w:val="superscript"/>
          <w:lang w:val="en-GB" w:eastAsia="en-GB"/>
        </w:rPr>
        <w:footnoteReference w:id="15"/>
      </w:r>
      <w:r>
        <w:rPr>
          <w:rFonts w:ascii="Times New Roman" w:hAnsi="Times New Roman"/>
          <w:noProof/>
          <w:sz w:val="24"/>
          <w:szCs w:val="20"/>
        </w:rPr>
        <w:t>, la directive de 2012 relative à l’efficacité énergétique</w:t>
      </w:r>
      <w:r>
        <w:rPr>
          <w:rFonts w:ascii="Times New Roman" w:eastAsia="Times New Roman" w:hAnsi="Times New Roman" w:cs="Times New Roman"/>
          <w:noProof/>
          <w:sz w:val="24"/>
          <w:szCs w:val="20"/>
          <w:lang w:val="en-GB" w:eastAsia="en-GB"/>
        </w:rPr>
        <w:footnoteReference w:id="16"/>
      </w:r>
      <w:r>
        <w:rPr>
          <w:rFonts w:ascii="Times New Roman" w:hAnsi="Times New Roman"/>
          <w:noProof/>
          <w:sz w:val="24"/>
          <w:szCs w:val="20"/>
        </w:rPr>
        <w:t xml:space="preserve"> et le règlement de 2017 relatif à l’étiquetage énergétique</w:t>
      </w:r>
      <w:r>
        <w:rPr>
          <w:rFonts w:ascii="Times New Roman" w:eastAsia="Times New Roman" w:hAnsi="Times New Roman" w:cs="Times New Roman"/>
          <w:noProof/>
          <w:sz w:val="24"/>
          <w:szCs w:val="20"/>
          <w:lang w:val="en-GB" w:eastAsia="en-GB"/>
        </w:rPr>
        <w:footnoteReference w:id="17"/>
      </w:r>
      <w:r>
        <w:rPr>
          <w:rFonts w:ascii="Times New Roman" w:hAnsi="Times New Roman"/>
          <w:noProof/>
          <w:sz w:val="24"/>
          <w:szCs w:val="20"/>
        </w:rPr>
        <w:t>) contribuent à la réduction des émissions de polluants atmosphériques en diminuant la c</w:t>
      </w:r>
      <w:r>
        <w:rPr>
          <w:rFonts w:ascii="Times New Roman" w:hAnsi="Times New Roman"/>
          <w:noProof/>
          <w:sz w:val="24"/>
          <w:szCs w:val="20"/>
        </w:rPr>
        <w:t>onsommation énergétique.  Les conclusions sur les meilleures techniques disponibles (MTD) pour les grandes installations de combustion</w:t>
      </w:r>
      <w:r>
        <w:rPr>
          <w:rFonts w:ascii="Times New Roman" w:eastAsia="Times New Roman" w:hAnsi="Times New Roman" w:cs="Times New Roman"/>
          <w:noProof/>
          <w:sz w:val="24"/>
          <w:szCs w:val="20"/>
          <w:vertAlign w:val="superscript"/>
          <w:lang w:val="en-GB" w:eastAsia="en-GB"/>
        </w:rPr>
        <w:footnoteReference w:id="18"/>
      </w:r>
      <w:r>
        <w:rPr>
          <w:rFonts w:ascii="Times New Roman" w:hAnsi="Times New Roman"/>
          <w:noProof/>
          <w:sz w:val="24"/>
          <w:szCs w:val="20"/>
        </w:rPr>
        <w:t xml:space="preserve"> récemment adoptées au titre de la DEI auront également des effets positifs pour les émissions de NO</w:t>
      </w:r>
      <w:r>
        <w:rPr>
          <w:rFonts w:ascii="Times New Roman" w:hAnsi="Times New Roman"/>
          <w:noProof/>
          <w:sz w:val="24"/>
          <w:szCs w:val="20"/>
          <w:vertAlign w:val="subscript"/>
        </w:rPr>
        <w:t>x</w:t>
      </w:r>
      <w:r>
        <w:rPr>
          <w:rFonts w:ascii="Times New Roman" w:hAnsi="Times New Roman"/>
          <w:noProof/>
          <w:sz w:val="24"/>
          <w:szCs w:val="20"/>
        </w:rPr>
        <w:t>, de SO</w:t>
      </w:r>
      <w:r>
        <w:rPr>
          <w:rFonts w:ascii="Times New Roman" w:hAnsi="Times New Roman"/>
          <w:noProof/>
          <w:sz w:val="24"/>
          <w:szCs w:val="20"/>
          <w:vertAlign w:val="subscript"/>
        </w:rPr>
        <w:t>2</w:t>
      </w:r>
      <w:r>
        <w:rPr>
          <w:rFonts w:ascii="Times New Roman" w:hAnsi="Times New Roman"/>
          <w:noProof/>
          <w:sz w:val="24"/>
          <w:szCs w:val="20"/>
        </w:rPr>
        <w:t xml:space="preserve"> et de PM. T</w:t>
      </w:r>
      <w:r>
        <w:rPr>
          <w:rFonts w:ascii="Times New Roman" w:hAnsi="Times New Roman"/>
          <w:noProof/>
          <w:sz w:val="24"/>
          <w:szCs w:val="20"/>
        </w:rPr>
        <w:t>outefois, étant donné que la biomasse solide demeure de loin le plus gros contributeur (82 %) pour la production de chaleur d’origine renouvelable</w:t>
      </w:r>
      <w:r>
        <w:rPr>
          <w:rFonts w:ascii="Times New Roman" w:eastAsia="Times New Roman" w:hAnsi="Times New Roman" w:cs="Times New Roman"/>
          <w:noProof/>
          <w:color w:val="000000"/>
          <w:sz w:val="24"/>
          <w:szCs w:val="20"/>
          <w:vertAlign w:val="superscript"/>
          <w:lang w:val="en-GB" w:eastAsia="en-GB"/>
        </w:rPr>
        <w:footnoteReference w:id="19"/>
      </w:r>
      <w:r>
        <w:rPr>
          <w:rFonts w:ascii="Times New Roman" w:hAnsi="Times New Roman"/>
          <w:noProof/>
          <w:sz w:val="24"/>
          <w:szCs w:val="20"/>
        </w:rPr>
        <w:t xml:space="preserve"> et que la bioénergie dans son ensemble continuera de constituer un élément majeur du bouquet d’énergies renouvelables</w:t>
      </w:r>
      <w:r>
        <w:rPr>
          <w:rFonts w:ascii="Times New Roman" w:eastAsia="Times New Roman" w:hAnsi="Times New Roman" w:cs="Times New Roman"/>
          <w:noProof/>
          <w:color w:val="000000"/>
          <w:sz w:val="24"/>
          <w:szCs w:val="20"/>
          <w:vertAlign w:val="superscript"/>
          <w:lang w:val="en-GB" w:eastAsia="en-GB"/>
        </w:rPr>
        <w:footnoteReference w:id="20"/>
      </w:r>
      <w:r>
        <w:rPr>
          <w:rFonts w:ascii="Times New Roman" w:hAnsi="Times New Roman"/>
          <w:noProof/>
          <w:sz w:val="24"/>
          <w:szCs w:val="20"/>
        </w:rPr>
        <w:t>, il est possible que les améliorations en matière de réduction des émissions soient atténuées dans une certaine mesure par l’augmentatio</w:t>
      </w:r>
      <w:r>
        <w:rPr>
          <w:rFonts w:ascii="Times New Roman" w:hAnsi="Times New Roman"/>
          <w:noProof/>
          <w:sz w:val="24"/>
          <w:szCs w:val="20"/>
        </w:rPr>
        <w:t>n du nombre d’émetteurs.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De nombreux efforts supplémentaires sont nécessaires afin de garantir que les dépassements de valeurs limites sont aussi restreints que possible. Trente procédures d’infraction relatives à la directive 2008/50/CE sont actuellement </w:t>
      </w:r>
      <w:r>
        <w:rPr>
          <w:rFonts w:ascii="Times New Roman" w:hAnsi="Times New Roman"/>
          <w:noProof/>
          <w:sz w:val="24"/>
          <w:szCs w:val="20"/>
        </w:rPr>
        <w:t>en cours contre des États membres: 16 pour dépassement des valeurs limites applicables aux émissions de PM</w:t>
      </w:r>
      <w:r>
        <w:rPr>
          <w:rFonts w:ascii="Times New Roman" w:hAnsi="Times New Roman"/>
          <w:noProof/>
          <w:sz w:val="24"/>
          <w:szCs w:val="20"/>
          <w:vertAlign w:val="subscript"/>
        </w:rPr>
        <w:t>10</w:t>
      </w:r>
      <w:r>
        <w:rPr>
          <w:rFonts w:ascii="Times New Roman" w:hAnsi="Times New Roman"/>
          <w:noProof/>
          <w:sz w:val="24"/>
          <w:szCs w:val="20"/>
        </w:rPr>
        <w:t>, 13 pour dépassement des valeurs limites applicables aux émissions de NO</w:t>
      </w:r>
      <w:r>
        <w:rPr>
          <w:rFonts w:ascii="Times New Roman" w:hAnsi="Times New Roman"/>
          <w:noProof/>
          <w:sz w:val="24"/>
          <w:szCs w:val="20"/>
          <w:vertAlign w:val="subscript"/>
        </w:rPr>
        <w:t>2</w:t>
      </w:r>
      <w:r>
        <w:rPr>
          <w:rFonts w:ascii="Times New Roman" w:hAnsi="Times New Roman"/>
          <w:noProof/>
          <w:sz w:val="24"/>
          <w:szCs w:val="20"/>
        </w:rPr>
        <w:t xml:space="preserve"> et une pour dépassement des valeurs limites applicables aux émissions de </w:t>
      </w:r>
      <w:r>
        <w:rPr>
          <w:rFonts w:ascii="Times New Roman" w:hAnsi="Times New Roman"/>
          <w:noProof/>
          <w:sz w:val="24"/>
          <w:szCs w:val="20"/>
        </w:rPr>
        <w:t>SO</w:t>
      </w:r>
      <w:r>
        <w:rPr>
          <w:rFonts w:ascii="Times New Roman" w:hAnsi="Times New Roman"/>
          <w:noProof/>
          <w:sz w:val="24"/>
          <w:szCs w:val="20"/>
          <w:vertAlign w:val="subscript"/>
        </w:rPr>
        <w:t>2</w:t>
      </w:r>
      <w:r>
        <w:rPr>
          <w:rFonts w:ascii="Times New Roman" w:hAnsi="Times New Roman"/>
          <w:noProof/>
          <w:sz w:val="24"/>
          <w:szCs w:val="20"/>
        </w:rPr>
        <w:t>.</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Une aide financière de l’UE significative est également mise à disposition des États membres pour leur permettre de financer des mesures de lutte contre la pollution atmosphérique (voir la section 3.2.5).  Dans le contexte plus large de l’examen par l</w:t>
      </w:r>
      <w:r>
        <w:rPr>
          <w:rFonts w:ascii="Times New Roman" w:hAnsi="Times New Roman"/>
          <w:noProof/>
          <w:sz w:val="24"/>
          <w:szCs w:val="20"/>
        </w:rPr>
        <w:t>a Commission de la mise en œuvre de la politique environnementale</w:t>
      </w:r>
      <w:r>
        <w:rPr>
          <w:rFonts w:ascii="Times New Roman" w:eastAsia="Times New Roman" w:hAnsi="Times New Roman" w:cs="Times New Roman"/>
          <w:noProof/>
          <w:sz w:val="24"/>
          <w:szCs w:val="20"/>
          <w:vertAlign w:val="superscript"/>
          <w:lang w:val="en-GB" w:eastAsia="en-GB"/>
        </w:rPr>
        <w:footnoteReference w:id="21"/>
      </w:r>
      <w:r>
        <w:rPr>
          <w:rFonts w:ascii="Times New Roman" w:hAnsi="Times New Roman"/>
          <w:noProof/>
          <w:sz w:val="24"/>
          <w:szCs w:val="20"/>
        </w:rPr>
        <w:t>, la Commission conduit des «dialogues sur l’air pur»</w:t>
      </w:r>
      <w:r>
        <w:rPr>
          <w:rFonts w:ascii="Times New Roman" w:eastAsia="Times New Roman" w:hAnsi="Times New Roman" w:cs="Times New Roman"/>
          <w:noProof/>
          <w:sz w:val="24"/>
          <w:szCs w:val="20"/>
          <w:vertAlign w:val="superscript"/>
          <w:lang w:val="en-GB" w:eastAsia="en-GB"/>
        </w:rPr>
        <w:footnoteReference w:id="22"/>
      </w:r>
      <w:r>
        <w:rPr>
          <w:rFonts w:ascii="Times New Roman" w:hAnsi="Times New Roman"/>
          <w:noProof/>
          <w:sz w:val="24"/>
          <w:szCs w:val="20"/>
        </w:rPr>
        <w:t xml:space="preserve"> avec les États membres afin de mieux comprendre les approches nationales de la mise en œuvre, de permettre un partage d’expériences por</w:t>
      </w:r>
      <w:r>
        <w:rPr>
          <w:rFonts w:ascii="Times New Roman" w:hAnsi="Times New Roman"/>
          <w:noProof/>
          <w:sz w:val="24"/>
          <w:szCs w:val="20"/>
        </w:rPr>
        <w:t>tant sur les solutions, de promouvoir les synergies entre les politiques et de déterminer les domaines dans lesquels les fonds de l’UE peuvent se révéler utiles. Les dialogues ont été particulièrement efficaces dans le cadre de la promotion de mesures fais</w:t>
      </w:r>
      <w:r>
        <w:rPr>
          <w:rFonts w:ascii="Times New Roman" w:hAnsi="Times New Roman"/>
          <w:noProof/>
          <w:sz w:val="24"/>
          <w:szCs w:val="20"/>
        </w:rPr>
        <w:t>ant participer l’ensemble des parties prenantes et des ministères compétents.</w:t>
      </w:r>
    </w:p>
    <w:p w:rsidR="00F045AF" w:rsidRDefault="00D30C28">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Le bilan de qualité des directives concernant la qualité de l’air ambiant</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programme «Air pur pour l’Europe» de 2013 a conclu qu’il n'était pas opportun à ce moment-là de révis</w:t>
      </w:r>
      <w:r>
        <w:rPr>
          <w:rFonts w:ascii="Times New Roman" w:hAnsi="Times New Roman"/>
          <w:noProof/>
          <w:sz w:val="24"/>
          <w:szCs w:val="20"/>
        </w:rPr>
        <w:t>er les directives 2008/50/UE et 2004/107/CE concernant la qualité de l’air ambiant, soulignant le besoin de garantir le respect des normes existantes et de réduire les émissions grâce à la directive PEN.</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En 2017, la Commission a entamé un bilan de qualité </w:t>
      </w:r>
      <w:r>
        <w:rPr>
          <w:rFonts w:ascii="Times New Roman" w:hAnsi="Times New Roman"/>
          <w:noProof/>
          <w:sz w:val="24"/>
          <w:szCs w:val="20"/>
        </w:rPr>
        <w:t>afin d’examiner les performances des directives concernant la qualité de l’air ambiant. Celui-ci s’appuie sur l’analyse qui sous-tend le programme «Air pur pour l’Europe» et puisera dans l’expérience acquise dans l’ensemble des États membres, en se concent</w:t>
      </w:r>
      <w:r>
        <w:rPr>
          <w:rFonts w:ascii="Times New Roman" w:hAnsi="Times New Roman"/>
          <w:noProof/>
          <w:sz w:val="24"/>
          <w:szCs w:val="20"/>
        </w:rPr>
        <w:t>rant sur la période 2008-2018. Il examinera l’adéquation de l’ensemble des dispositions des directives et, en particulier, des méthodes de surveillance et d’évaluation, des normes en matière de qualité de l’air, des dispositions relatives à l’information d</w:t>
      </w:r>
      <w:r>
        <w:rPr>
          <w:rFonts w:ascii="Times New Roman" w:hAnsi="Times New Roman"/>
          <w:noProof/>
          <w:sz w:val="24"/>
          <w:szCs w:val="20"/>
        </w:rPr>
        <w:t>u public et de la mesure dans laquelle les directives ont facilité la prise de mesures visant à prévenir ou à réduire les effets défavorables.</w:t>
      </w:r>
    </w:p>
    <w:p w:rsidR="00F045AF" w:rsidRDefault="00D30C2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frais administratifs, chevauchements et/ou synergies, lacunes, incohérences et/ou mesures potentiellement obs</w:t>
      </w:r>
      <w:r>
        <w:rPr>
          <w:rFonts w:ascii="Times New Roman" w:hAnsi="Times New Roman"/>
          <w:noProof/>
          <w:sz w:val="24"/>
          <w:szCs w:val="24"/>
        </w:rPr>
        <w:t>olètes feront également partie des sujets abordés, de même que la cohérence de la gouvernance en matière de qualité de l’air entre les différents niveaux (local, régional, des États membres, de l’UE). Selon la programmation actuelle, le bilan de qualité s’</w:t>
      </w:r>
      <w:r>
        <w:rPr>
          <w:rFonts w:ascii="Times New Roman" w:hAnsi="Times New Roman"/>
          <w:noProof/>
          <w:sz w:val="24"/>
          <w:szCs w:val="24"/>
        </w:rPr>
        <w:t>achèvera en 2019.</w:t>
      </w:r>
    </w:p>
    <w:p w:rsidR="00F045AF" w:rsidRDefault="00D30C28">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Mise en œuvre de la nouvelle directive sur les plafonds d’émission nationaux et de dispositions législatives supplémentaires</w:t>
      </w:r>
    </w:p>
    <w:p w:rsidR="00F045AF" w:rsidRDefault="00D30C28">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bookmarkStart w:id="5" w:name="_Ref496622083"/>
      <w:r>
        <w:rPr>
          <w:rFonts w:ascii="Times New Roman" w:hAnsi="Times New Roman"/>
          <w:b/>
          <w:noProof/>
          <w:sz w:val="24"/>
          <w:szCs w:val="20"/>
        </w:rPr>
        <w:t>Cibles en matière de santé et d’écosystème</w:t>
      </w:r>
      <w:bookmarkEnd w:id="5"/>
    </w:p>
    <w:p w:rsidR="00F045AF" w:rsidRDefault="00D30C28">
      <w:pPr>
        <w:spacing w:before="120" w:after="120" w:line="240" w:lineRule="auto"/>
        <w:jc w:val="both"/>
        <w:rPr>
          <w:rFonts w:ascii="Times New Roman" w:hAnsi="Times New Roman"/>
          <w:noProof/>
          <w:sz w:val="24"/>
          <w:szCs w:val="20"/>
        </w:rPr>
      </w:pPr>
      <w:r>
        <w:rPr>
          <w:rFonts w:ascii="Times New Roman" w:hAnsi="Times New Roman"/>
          <w:noProof/>
          <w:sz w:val="24"/>
          <w:szCs w:val="20"/>
        </w:rPr>
        <w:t xml:space="preserve">Les cibles fixées dans le programme «Air pur pour l’Europe» ont été </w:t>
      </w:r>
      <w:r>
        <w:rPr>
          <w:rFonts w:ascii="Times New Roman" w:hAnsi="Times New Roman"/>
          <w:noProof/>
          <w:sz w:val="24"/>
          <w:szCs w:val="20"/>
        </w:rPr>
        <w:t>fondées sur les réductions soulignées dans la proposition de directive PEN de la Commission</w:t>
      </w:r>
      <w:r>
        <w:rPr>
          <w:rFonts w:ascii="Times New Roman" w:eastAsia="Times New Roman" w:hAnsi="Times New Roman" w:cs="Times New Roman"/>
          <w:noProof/>
          <w:sz w:val="24"/>
          <w:szCs w:val="20"/>
          <w:lang w:val="en-GB" w:eastAsia="en-GB"/>
        </w:rPr>
        <w:footnoteReference w:id="23"/>
      </w:r>
      <w:r>
        <w:rPr>
          <w:rFonts w:ascii="Times New Roman" w:hAnsi="Times New Roman"/>
          <w:noProof/>
          <w:sz w:val="24"/>
          <w:szCs w:val="20"/>
        </w:rPr>
        <w:t>. À présent que la directive est entrée en vigueur, depuis le 31 décembre 2016, et que les dispositions législatives supplémentaires (à savoir les mesures régissant</w:t>
      </w:r>
      <w:r>
        <w:rPr>
          <w:rFonts w:ascii="Times New Roman" w:hAnsi="Times New Roman"/>
          <w:noProof/>
          <w:sz w:val="24"/>
          <w:szCs w:val="20"/>
        </w:rPr>
        <w:t xml:space="preserve"> certaines sources de pollution telles que les véhicules, les poêles, les installations industrielles) ont été adoptées depuis le programme «Air pur» de 2013, ces chiffres peuvent être mis à jour comme il est indiqué dans le tableau 1 ci-après. </w:t>
      </w:r>
    </w:p>
    <w:p w:rsidR="00F045AF" w:rsidRDefault="00F045AF">
      <w:pPr>
        <w:spacing w:before="120" w:after="120" w:line="240" w:lineRule="auto"/>
        <w:jc w:val="both"/>
        <w:rPr>
          <w:rFonts w:ascii="Times New Roman" w:hAnsi="Times New Roman"/>
          <w:noProof/>
          <w:sz w:val="24"/>
          <w:szCs w:val="20"/>
        </w:rPr>
      </w:pPr>
    </w:p>
    <w:p w:rsidR="00F045AF" w:rsidRDefault="00F045AF">
      <w:pPr>
        <w:spacing w:before="120" w:after="120" w:line="240" w:lineRule="auto"/>
        <w:jc w:val="both"/>
        <w:rPr>
          <w:rFonts w:ascii="Times New Roman" w:eastAsia="Times New Roman" w:hAnsi="Times New Roman" w:cs="Times New Roman"/>
          <w:noProof/>
          <w:sz w:val="24"/>
          <w:szCs w:val="20"/>
        </w:rPr>
      </w:pPr>
    </w:p>
    <w:p w:rsidR="00F045AF" w:rsidRDefault="00D30C28">
      <w:pPr>
        <w:keepNext/>
        <w:spacing w:after="120" w:line="240" w:lineRule="auto"/>
        <w:jc w:val="both"/>
        <w:rPr>
          <w:rFonts w:ascii="Times New Roman" w:hAnsi="Times New Roman"/>
          <w:b/>
          <w:noProof/>
        </w:rPr>
      </w:pPr>
      <w:r>
        <w:rPr>
          <w:rFonts w:ascii="Times New Roman" w:hAnsi="Times New Roman"/>
          <w:b/>
          <w:noProof/>
        </w:rPr>
        <w:t>Tableau </w:t>
      </w:r>
      <w:r>
        <w:rPr>
          <w:rFonts w:ascii="Times New Roman" w:hAnsi="Times New Roman"/>
          <w:b/>
          <w:noProof/>
        </w:rPr>
        <w:t>1: Avantages attendus en 2030 de la politique en matière de qualité de l’air découlant de la directive PEN et de l’ensemble des dispositions législatives relatives aux sources d'émissions adoptées depuis 2014, par rapport aux propositions du programme «Air</w:t>
      </w:r>
      <w:r>
        <w:rPr>
          <w:rFonts w:ascii="Times New Roman" w:hAnsi="Times New Roman"/>
          <w:b/>
          <w:noProof/>
        </w:rPr>
        <w:t xml:space="preserve"> pur pour l’Europe» (relativement à 2005, l’année de référence)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7"/>
      </w:tblGrid>
      <w:tr w:rsidR="00F045AF">
        <w:tc>
          <w:tcPr>
            <w:tcW w:w="3096" w:type="dxa"/>
            <w:tcBorders>
              <w:bottom w:val="single" w:sz="12" w:space="0" w:color="auto"/>
            </w:tcBorders>
            <w:shd w:val="clear" w:color="auto" w:fill="auto"/>
          </w:tcPr>
          <w:p w:rsidR="00F045AF" w:rsidRDefault="00F045AF">
            <w:pPr>
              <w:spacing w:before="120" w:after="120" w:line="240" w:lineRule="auto"/>
              <w:jc w:val="center"/>
              <w:rPr>
                <w:rFonts w:ascii="Times New Roman" w:eastAsia="Times New Roman" w:hAnsi="Times New Roman" w:cs="Times New Roman"/>
                <w:noProof/>
                <w:sz w:val="24"/>
                <w:szCs w:val="20"/>
                <w:highlight w:val="yellow"/>
                <w:lang w:val="fr-BE" w:eastAsia="en-GB"/>
              </w:rPr>
            </w:pPr>
          </w:p>
        </w:tc>
        <w:tc>
          <w:tcPr>
            <w:tcW w:w="3096" w:type="dxa"/>
            <w:tcBorders>
              <w:bottom w:val="single" w:sz="12" w:space="0" w:color="auto"/>
            </w:tcBorders>
            <w:shd w:val="clear" w:color="auto" w:fill="auto"/>
          </w:tcPr>
          <w:p w:rsidR="00F045AF" w:rsidRDefault="00D30C28">
            <w:pPr>
              <w:spacing w:before="120" w:after="120" w:line="240" w:lineRule="auto"/>
              <w:jc w:val="center"/>
              <w:rPr>
                <w:rFonts w:ascii="Times New Roman" w:eastAsia="Times New Roman" w:hAnsi="Times New Roman" w:cs="Times New Roman"/>
                <w:noProof/>
                <w:sz w:val="24"/>
                <w:szCs w:val="20"/>
                <w:highlight w:val="yellow"/>
              </w:rPr>
            </w:pPr>
            <w:r>
              <w:rPr>
                <w:rFonts w:ascii="Times New Roman" w:hAnsi="Times New Roman"/>
                <w:noProof/>
                <w:szCs w:val="20"/>
              </w:rPr>
              <w:t>Réduction attendue des incidences négatives sur la santé par rapport à 2005</w:t>
            </w:r>
            <w:r>
              <w:rPr>
                <w:rFonts w:ascii="Times New Roman" w:hAnsi="Times New Roman"/>
                <w:noProof/>
                <w:szCs w:val="20"/>
              </w:rPr>
              <w:br/>
              <w:t>(décès prématurés dus aux particules et à l’ozone)</w:t>
            </w:r>
          </w:p>
        </w:tc>
        <w:tc>
          <w:tcPr>
            <w:tcW w:w="3097" w:type="dxa"/>
            <w:tcBorders>
              <w:bottom w:val="single" w:sz="12" w:space="0" w:color="auto"/>
            </w:tcBorders>
            <w:shd w:val="clear" w:color="auto" w:fill="auto"/>
          </w:tcPr>
          <w:p w:rsidR="00F045AF" w:rsidRDefault="00D30C28">
            <w:pPr>
              <w:spacing w:before="120" w:after="120" w:line="240" w:lineRule="auto"/>
              <w:jc w:val="center"/>
              <w:rPr>
                <w:rFonts w:ascii="Times New Roman" w:eastAsia="Times New Roman" w:hAnsi="Times New Roman" w:cs="Times New Roman"/>
                <w:noProof/>
                <w:sz w:val="24"/>
                <w:szCs w:val="20"/>
                <w:highlight w:val="yellow"/>
              </w:rPr>
            </w:pPr>
            <w:r>
              <w:rPr>
                <w:rFonts w:ascii="Times New Roman" w:hAnsi="Times New Roman"/>
                <w:noProof/>
                <w:szCs w:val="20"/>
              </w:rPr>
              <w:t>Réduction attendue de la superficie des écosystèmes excédant le</w:t>
            </w:r>
            <w:r>
              <w:rPr>
                <w:rFonts w:ascii="Times New Roman" w:hAnsi="Times New Roman"/>
                <w:noProof/>
                <w:szCs w:val="20"/>
              </w:rPr>
              <w:t>s limites établies concernant l’eutrophisation par rapport à 2005</w:t>
            </w:r>
          </w:p>
        </w:tc>
      </w:tr>
      <w:tr w:rsidR="00F045AF">
        <w:tc>
          <w:tcPr>
            <w:tcW w:w="3096" w:type="dxa"/>
            <w:tcBorders>
              <w:top w:val="single" w:sz="12" w:space="0" w:color="auto"/>
            </w:tcBorders>
            <w:shd w:val="clear" w:color="auto" w:fill="auto"/>
          </w:tcPr>
          <w:p w:rsidR="00F045AF" w:rsidRDefault="00D30C28">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Cs w:val="20"/>
              </w:rPr>
              <w:t>Programme Air pur pour l’Europe (décembre 2013) utilisant une situation de référence qui n’intègre pas les dispositions législatives relatives aux sources d’émissions adoptées depuis 2014</w:t>
            </w:r>
          </w:p>
        </w:tc>
        <w:tc>
          <w:tcPr>
            <w:tcW w:w="3096" w:type="dxa"/>
            <w:tcBorders>
              <w:top w:val="single" w:sz="12" w:space="0" w:color="auto"/>
            </w:tcBorders>
            <w:shd w:val="clear" w:color="auto" w:fill="auto"/>
          </w:tcPr>
          <w:p w:rsidR="00F045AF" w:rsidRDefault="00D30C28">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szCs w:val="20"/>
              </w:rPr>
              <w:t>5</w:t>
            </w:r>
            <w:r>
              <w:rPr>
                <w:rFonts w:ascii="Times New Roman" w:hAnsi="Times New Roman"/>
                <w:noProof/>
                <w:sz w:val="24"/>
                <w:szCs w:val="20"/>
              </w:rPr>
              <w:t>2 %</w:t>
            </w:r>
          </w:p>
        </w:tc>
        <w:tc>
          <w:tcPr>
            <w:tcW w:w="3097" w:type="dxa"/>
            <w:tcBorders>
              <w:top w:val="single" w:sz="12" w:space="0" w:color="auto"/>
            </w:tcBorders>
            <w:shd w:val="clear" w:color="auto" w:fill="auto"/>
          </w:tcPr>
          <w:p w:rsidR="00F045AF" w:rsidRDefault="00D30C28">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szCs w:val="20"/>
              </w:rPr>
              <w:t>35 %</w:t>
            </w:r>
          </w:p>
        </w:tc>
      </w:tr>
      <w:tr w:rsidR="00F045AF">
        <w:tc>
          <w:tcPr>
            <w:tcW w:w="3096" w:type="dxa"/>
            <w:shd w:val="clear" w:color="auto" w:fill="auto"/>
          </w:tcPr>
          <w:p w:rsidR="00F045AF" w:rsidRDefault="00D30C28">
            <w:pPr>
              <w:spacing w:before="120" w:after="120" w:line="240" w:lineRule="auto"/>
              <w:jc w:val="center"/>
              <w:rPr>
                <w:rFonts w:ascii="Times New Roman" w:eastAsia="Times New Roman" w:hAnsi="Times New Roman" w:cs="Times New Roman"/>
                <w:noProof/>
                <w:szCs w:val="20"/>
              </w:rPr>
            </w:pPr>
            <w:r>
              <w:rPr>
                <w:rFonts w:ascii="Times New Roman" w:hAnsi="Times New Roman"/>
                <w:noProof/>
                <w:szCs w:val="20"/>
              </w:rPr>
              <w:t>Incidences de la directive PEN telles qu’estimées au moment de son adoption en décembre 2016 à partir de la même situation de référence précitée</w:t>
            </w:r>
          </w:p>
        </w:tc>
        <w:tc>
          <w:tcPr>
            <w:tcW w:w="3096" w:type="dxa"/>
            <w:shd w:val="clear" w:color="auto" w:fill="auto"/>
          </w:tcPr>
          <w:p w:rsidR="00F045AF" w:rsidRDefault="00D30C28">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szCs w:val="20"/>
              </w:rPr>
              <w:t>49,6 %</w:t>
            </w:r>
          </w:p>
        </w:tc>
        <w:tc>
          <w:tcPr>
            <w:tcW w:w="3097" w:type="dxa"/>
            <w:shd w:val="clear" w:color="auto" w:fill="auto"/>
          </w:tcPr>
          <w:p w:rsidR="00F045AF" w:rsidRDefault="00D30C28">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szCs w:val="20"/>
              </w:rPr>
              <w:t>-</w:t>
            </w:r>
          </w:p>
        </w:tc>
      </w:tr>
      <w:tr w:rsidR="00F045AF">
        <w:tc>
          <w:tcPr>
            <w:tcW w:w="3096" w:type="dxa"/>
            <w:shd w:val="clear" w:color="auto" w:fill="auto"/>
          </w:tcPr>
          <w:p w:rsidR="00F045AF" w:rsidRDefault="00D30C28">
            <w:pPr>
              <w:spacing w:before="120" w:after="120" w:line="240" w:lineRule="auto"/>
              <w:jc w:val="center"/>
              <w:rPr>
                <w:rFonts w:ascii="Times New Roman" w:eastAsia="Times New Roman" w:hAnsi="Times New Roman" w:cs="Times New Roman"/>
                <w:b/>
                <w:noProof/>
                <w:szCs w:val="20"/>
              </w:rPr>
            </w:pPr>
            <w:r>
              <w:rPr>
                <w:rFonts w:ascii="Times New Roman" w:hAnsi="Times New Roman"/>
                <w:b/>
                <w:noProof/>
                <w:szCs w:val="20"/>
              </w:rPr>
              <w:t xml:space="preserve">Incidences de la directive PEN sur la base d’une situation de référence qui intègre les </w:t>
            </w:r>
            <w:r>
              <w:rPr>
                <w:rFonts w:ascii="Times New Roman" w:hAnsi="Times New Roman"/>
                <w:b/>
                <w:noProof/>
                <w:szCs w:val="20"/>
              </w:rPr>
              <w:t>incidences des dispositions législatives relatives aux sources d’émissions adoptées depuis 2014</w:t>
            </w:r>
          </w:p>
        </w:tc>
        <w:tc>
          <w:tcPr>
            <w:tcW w:w="3096" w:type="dxa"/>
            <w:shd w:val="clear" w:color="auto" w:fill="auto"/>
          </w:tcPr>
          <w:p w:rsidR="00F045AF" w:rsidRDefault="00D30C28">
            <w:pPr>
              <w:spacing w:before="12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szCs w:val="20"/>
              </w:rPr>
              <w:t>54 %</w:t>
            </w:r>
          </w:p>
        </w:tc>
        <w:tc>
          <w:tcPr>
            <w:tcW w:w="3097" w:type="dxa"/>
            <w:shd w:val="clear" w:color="auto" w:fill="auto"/>
          </w:tcPr>
          <w:p w:rsidR="00F045AF" w:rsidRDefault="00D30C28">
            <w:pPr>
              <w:spacing w:before="12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szCs w:val="20"/>
              </w:rPr>
              <w:t>27 %</w:t>
            </w:r>
          </w:p>
        </w:tc>
      </w:tr>
    </w:tbl>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Quelques explications s’imposent, notamment en ce qui concerne la réduction de 54 % des incidences sur la santé alors que l’effet attendu (au moment </w:t>
      </w:r>
      <w:r>
        <w:rPr>
          <w:rFonts w:ascii="Times New Roman" w:hAnsi="Times New Roman"/>
          <w:noProof/>
          <w:sz w:val="24"/>
          <w:szCs w:val="20"/>
        </w:rPr>
        <w:t>de l’adoption) était tout juste inférieur à 50 %.  Deux facteurs sont à l’origine de ce phénomène.</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premier est l’effet des dispositions législatives supplémentaires spécifiques relatives aux sources d'émissions qui ont été adoptées depuis 2014. Les cont</w:t>
      </w:r>
      <w:r>
        <w:rPr>
          <w:rFonts w:ascii="Times New Roman" w:hAnsi="Times New Roman"/>
          <w:noProof/>
          <w:sz w:val="24"/>
          <w:szCs w:val="20"/>
        </w:rPr>
        <w:t>rôles des émissions au titre de la DICM de 2015 s’appliquent à toutes les nouvelles installations de combustion à partir du 20 décembre 2018, et aux installations existantes à partir de 2025 ou 2030 (en fonction de la taille de celles-ci). Les nouveaux règ</w:t>
      </w:r>
      <w:r>
        <w:rPr>
          <w:rFonts w:ascii="Times New Roman" w:hAnsi="Times New Roman"/>
          <w:noProof/>
          <w:sz w:val="24"/>
          <w:szCs w:val="20"/>
        </w:rPr>
        <w:t>lements d’exécution en matière d’écoconception de 2015 s’appliquent à toutes les nouvelles chaudières à combustible solide commercialisées à partir du 1</w:t>
      </w:r>
      <w:r>
        <w:rPr>
          <w:rFonts w:ascii="Times New Roman" w:hAnsi="Times New Roman"/>
          <w:noProof/>
          <w:sz w:val="24"/>
          <w:szCs w:val="20"/>
          <w:vertAlign w:val="superscript"/>
        </w:rPr>
        <w:t>er</w:t>
      </w:r>
      <w:r>
        <w:rPr>
          <w:rFonts w:ascii="Times New Roman" w:hAnsi="Times New Roman"/>
          <w:noProof/>
          <w:sz w:val="24"/>
          <w:szCs w:val="20"/>
        </w:rPr>
        <w:t xml:space="preserve"> janvier 2020, et aux nouveaux poêles à combustible solide à partir du 1</w:t>
      </w:r>
      <w:r>
        <w:rPr>
          <w:rFonts w:ascii="Times New Roman" w:hAnsi="Times New Roman"/>
          <w:noProof/>
          <w:sz w:val="24"/>
          <w:szCs w:val="20"/>
          <w:vertAlign w:val="superscript"/>
        </w:rPr>
        <w:t>er</w:t>
      </w:r>
      <w:r>
        <w:rPr>
          <w:rFonts w:ascii="Times New Roman" w:hAnsi="Times New Roman"/>
          <w:noProof/>
          <w:sz w:val="24"/>
          <w:szCs w:val="20"/>
        </w:rPr>
        <w:t xml:space="preserve"> janvier 2022. Le règlement </w:t>
      </w:r>
      <w:r>
        <w:rPr>
          <w:rFonts w:ascii="Times New Roman" w:hAnsi="Times New Roman"/>
          <w:noProof/>
          <w:sz w:val="24"/>
          <w:szCs w:val="20"/>
        </w:rPr>
        <w:t>de 2016 relatif aux engins mobiles non routiers (EMNR)</w:t>
      </w:r>
      <w:r>
        <w:rPr>
          <w:rFonts w:ascii="Times New Roman" w:eastAsia="Times New Roman" w:hAnsi="Times New Roman" w:cs="Times New Roman"/>
          <w:noProof/>
          <w:sz w:val="24"/>
          <w:szCs w:val="20"/>
          <w:vertAlign w:val="superscript"/>
          <w:lang w:val="en-GB" w:eastAsia="en-GB"/>
        </w:rPr>
        <w:footnoteReference w:id="24"/>
      </w:r>
      <w:r>
        <w:rPr>
          <w:rFonts w:ascii="Times New Roman" w:hAnsi="Times New Roman"/>
          <w:noProof/>
          <w:sz w:val="24"/>
          <w:szCs w:val="20"/>
        </w:rPr>
        <w:t xml:space="preserve"> s’applique aux moteurs mis sur le marché à partir du 1</w:t>
      </w:r>
      <w:r>
        <w:rPr>
          <w:rFonts w:ascii="Times New Roman" w:hAnsi="Times New Roman"/>
          <w:noProof/>
          <w:sz w:val="24"/>
          <w:szCs w:val="20"/>
          <w:vertAlign w:val="superscript"/>
        </w:rPr>
        <w:t>er</w:t>
      </w:r>
      <w:r>
        <w:rPr>
          <w:rFonts w:ascii="Times New Roman" w:hAnsi="Times New Roman"/>
          <w:noProof/>
          <w:sz w:val="24"/>
          <w:szCs w:val="20"/>
        </w:rPr>
        <w:t xml:space="preserve"> janvier 2019, 2020 ou 2021, selon la classe du moteur.  Les conclusions sur les MTD pour les grandes installations de combustion de 2017 s’appl</w:t>
      </w:r>
      <w:r>
        <w:rPr>
          <w:rFonts w:ascii="Times New Roman" w:hAnsi="Times New Roman"/>
          <w:noProof/>
          <w:sz w:val="24"/>
          <w:szCs w:val="20"/>
        </w:rPr>
        <w:t>iquent aux nouvelles installations depuis le 17 août 2017, et à toutes les installations existantes à partir du 17 août 2021. Le train de mesures sur la qualité de l’air de 2013 a souligné la contribution susceptible d’être apportée par la mise en œuvre de</w:t>
      </w:r>
      <w:r>
        <w:rPr>
          <w:rFonts w:ascii="Times New Roman" w:hAnsi="Times New Roman"/>
          <w:noProof/>
          <w:sz w:val="24"/>
          <w:szCs w:val="20"/>
        </w:rPr>
        <w:t xml:space="preserve"> ces initiatives d’ici à 2030, et les versions finales des actes législatifs sont à présent intégrées dans l’analyse. Une évaluation combinée de toutes les mesures de ce type permet de conclure que des réductions plus importantes que celles estimées au mom</w:t>
      </w:r>
      <w:r>
        <w:rPr>
          <w:rFonts w:ascii="Times New Roman" w:hAnsi="Times New Roman"/>
          <w:noProof/>
          <w:sz w:val="24"/>
          <w:szCs w:val="20"/>
        </w:rPr>
        <w:t>ent de l’adoption de la directive PEN pourraient en réalité être attendues d’ici à 2030, à condition d’assurer la pleine conformité avec toutes les exigences légales pertinentes.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Le deuxième facteur est le cas de figure dans lequel des mesures introduites </w:t>
      </w:r>
      <w:r>
        <w:rPr>
          <w:rFonts w:ascii="Times New Roman" w:hAnsi="Times New Roman"/>
          <w:noProof/>
          <w:sz w:val="24"/>
          <w:szCs w:val="20"/>
        </w:rPr>
        <w:t>pour réduire les émissions d’un polluant donné entraînent des avantages associés pour d’autres polluants (ci-après les «mesures de réduction entraînant des avantages associés»). Les contrôles portant sur l’incinération de déchets agricoles au titre de la P</w:t>
      </w:r>
      <w:r>
        <w:rPr>
          <w:rFonts w:ascii="Times New Roman" w:hAnsi="Times New Roman"/>
          <w:noProof/>
          <w:sz w:val="24"/>
          <w:szCs w:val="20"/>
        </w:rPr>
        <w:t>AC</w:t>
      </w:r>
      <w:r>
        <w:rPr>
          <w:rFonts w:ascii="Times New Roman" w:eastAsia="Times New Roman" w:hAnsi="Times New Roman" w:cs="Times New Roman"/>
          <w:noProof/>
          <w:sz w:val="24"/>
          <w:szCs w:val="20"/>
          <w:lang w:val="en-GB" w:eastAsia="en-GB"/>
        </w:rPr>
        <w:footnoteReference w:id="25"/>
      </w:r>
      <w:r>
        <w:rPr>
          <w:rFonts w:ascii="Times New Roman" w:hAnsi="Times New Roman"/>
          <w:noProof/>
          <w:sz w:val="24"/>
          <w:szCs w:val="20"/>
        </w:rPr>
        <w:t xml:space="preserve"> et l'annexe III de la directive PEN, souvent motivés par la nécessité de réduire les émissions de NH</w:t>
      </w:r>
      <w:r>
        <w:rPr>
          <w:rFonts w:ascii="Times New Roman" w:hAnsi="Times New Roman"/>
          <w:noProof/>
          <w:sz w:val="24"/>
          <w:szCs w:val="20"/>
          <w:vertAlign w:val="subscript"/>
        </w:rPr>
        <w:t>3</w:t>
      </w:r>
      <w:r>
        <w:rPr>
          <w:rFonts w:ascii="Times New Roman" w:hAnsi="Times New Roman"/>
          <w:noProof/>
          <w:sz w:val="24"/>
          <w:szCs w:val="20"/>
        </w:rPr>
        <w:t xml:space="preserve"> mais qui ont également pour effet de réduire les émissions de PM et de COV, constituent un exemple de ce type de mesures.  Dans de nombreux cas, ces synergies génèrent des économies mais, dans certains autres cas, elles entraînent principalement des avant</w:t>
      </w:r>
      <w:r>
        <w:rPr>
          <w:rFonts w:ascii="Times New Roman" w:hAnsi="Times New Roman"/>
          <w:noProof/>
          <w:sz w:val="24"/>
          <w:szCs w:val="20"/>
        </w:rPr>
        <w:t>ages supplémentaires pour la santé. L’incidence de ce facteur dépendra de la combinaison de mesures choisie dans la pratique par les États membres.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Ces effets ne se traduisent pas de la même façon pour l’eutrophisation. En effet, aucune des dispositions lé</w:t>
      </w:r>
      <w:r>
        <w:rPr>
          <w:rFonts w:ascii="Times New Roman" w:hAnsi="Times New Roman"/>
          <w:noProof/>
          <w:sz w:val="24"/>
          <w:szCs w:val="20"/>
        </w:rPr>
        <w:t>gislatives supplémentaires de l’UE relatives aux sources d’émissions adoptées depuis 2014 ne s’attaque au NH</w:t>
      </w:r>
      <w:r>
        <w:rPr>
          <w:rFonts w:ascii="Times New Roman" w:hAnsi="Times New Roman"/>
          <w:noProof/>
          <w:sz w:val="24"/>
          <w:szCs w:val="20"/>
          <w:vertAlign w:val="subscript"/>
        </w:rPr>
        <w:t>3</w:t>
      </w:r>
      <w:r>
        <w:rPr>
          <w:rFonts w:ascii="Times New Roman" w:hAnsi="Times New Roman"/>
          <w:noProof/>
          <w:sz w:val="24"/>
          <w:szCs w:val="20"/>
        </w:rPr>
        <w:t xml:space="preserve"> et les avantages de réduction associés sont limités.  Ainsi, l’assouplissement de l’exigence de réduction des émissions de NH</w:t>
      </w:r>
      <w:r>
        <w:rPr>
          <w:rFonts w:ascii="Times New Roman" w:hAnsi="Times New Roman"/>
          <w:noProof/>
          <w:sz w:val="24"/>
          <w:szCs w:val="20"/>
          <w:vertAlign w:val="subscript"/>
        </w:rPr>
        <w:t>3</w:t>
      </w:r>
      <w:r>
        <w:rPr>
          <w:rFonts w:ascii="Times New Roman" w:hAnsi="Times New Roman"/>
          <w:noProof/>
          <w:sz w:val="24"/>
          <w:szCs w:val="20"/>
        </w:rPr>
        <w:t xml:space="preserve"> entre la propositio</w:t>
      </w:r>
      <w:r>
        <w:rPr>
          <w:rFonts w:ascii="Times New Roman" w:hAnsi="Times New Roman"/>
          <w:noProof/>
          <w:sz w:val="24"/>
          <w:szCs w:val="20"/>
        </w:rPr>
        <w:t>n de la Commission et la directive PEN adoptée (réduction passant de 25 % à 19%) entraîne une chute largement proportionnelle des améliorations pour l’écosystème provenant de ladite réduction.</w:t>
      </w:r>
    </w:p>
    <w:p w:rsidR="00F045AF" w:rsidRDefault="00D30C28">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Mise en œuvre des engagements de réduction pour 2020 et 2030 de</w:t>
      </w:r>
      <w:r>
        <w:rPr>
          <w:rFonts w:ascii="Times New Roman" w:hAnsi="Times New Roman"/>
          <w:b/>
          <w:noProof/>
          <w:sz w:val="24"/>
          <w:szCs w:val="20"/>
        </w:rPr>
        <w:t xml:space="preserve"> la directive PEN</w:t>
      </w:r>
    </w:p>
    <w:p w:rsidR="00F045AF" w:rsidRDefault="00D30C28">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szCs w:val="20"/>
        </w:rPr>
        <w:t>Réalisation des engagements de réduction pour 2020</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L’analyse d’impact de 2013 prévoyait que les exigences de réduction pour 2020 de l’UE (fixées dans la révision du protocole de Göteborg de 2012) seraient réalisées par la législation de l</w:t>
      </w:r>
      <w:r>
        <w:rPr>
          <w:rFonts w:ascii="Times New Roman" w:hAnsi="Times New Roman"/>
          <w:noProof/>
          <w:sz w:val="24"/>
          <w:szCs w:val="20"/>
        </w:rPr>
        <w:t>’UE qui était déjà en vigueur à ce moment-là.  Cela est confirmé au niveau de l’UE par l’analyse mise à jour, mais les implications pour chaque État membre peuvent varier et, selon les circonstances au niveau national, il est possible que des mesures suppl</w:t>
      </w:r>
      <w:r>
        <w:rPr>
          <w:rFonts w:ascii="Times New Roman" w:hAnsi="Times New Roman"/>
          <w:noProof/>
          <w:sz w:val="24"/>
          <w:szCs w:val="20"/>
        </w:rPr>
        <w:t>émentaires soient nécessaires afin de garantir le respect de ces exigences.</w:t>
      </w:r>
    </w:p>
    <w:p w:rsidR="00F045AF" w:rsidRDefault="00D30C28">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bookmarkStart w:id="6" w:name="_Ref496879435"/>
      <w:r>
        <w:rPr>
          <w:rFonts w:ascii="Times New Roman" w:hAnsi="Times New Roman"/>
          <w:i/>
          <w:noProof/>
          <w:sz w:val="24"/>
          <w:szCs w:val="20"/>
        </w:rPr>
        <w:t>Réalisation des engagements de réduction pour 2030</w:t>
      </w:r>
      <w:bookmarkEnd w:id="6"/>
      <w:r>
        <w:rPr>
          <w:rFonts w:ascii="Times New Roman" w:hAnsi="Times New Roman"/>
          <w:i/>
          <w:noProof/>
          <w:sz w:val="24"/>
          <w:szCs w:val="20"/>
        </w:rPr>
        <w:t>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Dans la proposition de la Commission relative à la directive PEN, l’estimation portant sur la réalisation des réductions pour </w:t>
      </w:r>
      <w:r>
        <w:rPr>
          <w:rFonts w:ascii="Times New Roman" w:hAnsi="Times New Roman"/>
          <w:noProof/>
          <w:sz w:val="24"/>
          <w:szCs w:val="20"/>
        </w:rPr>
        <w:t>2030 s’élevait à 2,2 milliards d’euros</w:t>
      </w:r>
      <w:r>
        <w:rPr>
          <w:rFonts w:ascii="Times New Roman" w:eastAsia="Times New Roman" w:hAnsi="Times New Roman" w:cs="Times New Roman"/>
          <w:noProof/>
          <w:sz w:val="24"/>
          <w:szCs w:val="20"/>
          <w:vertAlign w:val="superscript"/>
          <w:lang w:val="en-GB" w:eastAsia="en-GB"/>
        </w:rPr>
        <w:footnoteReference w:id="26"/>
      </w:r>
      <w:r>
        <w:rPr>
          <w:rFonts w:ascii="Times New Roman" w:hAnsi="Times New Roman"/>
          <w:noProof/>
          <w:sz w:val="24"/>
          <w:szCs w:val="20"/>
        </w:rPr>
        <w:t>.  Il ressort de l’analyse que le coût de la réalisation effective des niveaux de réductions convenus dans la directive PEN telle qu’adoptée en décembre 2016 est en réalité plus faible, soit 1,8 milliard d’euros. Cett</w:t>
      </w:r>
      <w:r>
        <w:rPr>
          <w:rFonts w:ascii="Times New Roman" w:hAnsi="Times New Roman"/>
          <w:noProof/>
          <w:sz w:val="24"/>
          <w:szCs w:val="20"/>
        </w:rPr>
        <w:t xml:space="preserve">e différence s’explique par l’assouplissement des objectifs de réduction convenus par les colégislateurs. </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Si les dispositions législatives supplémentaires relatives aux sources adoptées depuis 2014 sont prises en compte, les coûts attribuables à la direct</w:t>
      </w:r>
      <w:r>
        <w:rPr>
          <w:rFonts w:ascii="Times New Roman" w:hAnsi="Times New Roman"/>
          <w:noProof/>
          <w:sz w:val="24"/>
          <w:szCs w:val="20"/>
        </w:rPr>
        <w:t>ive PEN devraient encore baisser pour atteindre  960 millions d’euros (soit 1,9 euro/personne/an</w:t>
      </w:r>
      <w:r>
        <w:rPr>
          <w:rFonts w:ascii="Times New Roman" w:eastAsia="Times New Roman" w:hAnsi="Times New Roman" w:cs="Times New Roman"/>
          <w:noProof/>
          <w:sz w:val="24"/>
          <w:szCs w:val="20"/>
          <w:vertAlign w:val="superscript"/>
          <w:lang w:val="en-GB" w:eastAsia="en-GB"/>
        </w:rPr>
        <w:footnoteReference w:id="27"/>
      </w:r>
      <w:r>
        <w:rPr>
          <w:rFonts w:ascii="Times New Roman" w:hAnsi="Times New Roman"/>
          <w:noProof/>
          <w:sz w:val="24"/>
          <w:szCs w:val="20"/>
        </w:rPr>
        <w:t xml:space="preserve">). La plus grande différence s’observe dans le secteur domestique et résulte de la mise en œuvre des dispositions d’écoconception des poêles et des chaudières </w:t>
      </w:r>
      <w:r>
        <w:rPr>
          <w:rFonts w:ascii="Times New Roman" w:hAnsi="Times New Roman"/>
          <w:noProof/>
          <w:sz w:val="24"/>
          <w:szCs w:val="20"/>
        </w:rPr>
        <w:t>à combustible solide.  Si l’on inclut également les incidences estimées du futur cadre d'action en matière de climat et d’énergie à l’horizon 2030</w:t>
      </w:r>
      <w:r>
        <w:rPr>
          <w:rFonts w:ascii="Times New Roman" w:eastAsia="Times New Roman" w:hAnsi="Times New Roman" w:cs="Times New Roman"/>
          <w:noProof/>
          <w:sz w:val="24"/>
          <w:szCs w:val="20"/>
          <w:lang w:val="en-GB" w:eastAsia="en-GB"/>
        </w:rPr>
        <w:footnoteReference w:id="28"/>
      </w:r>
      <w:r>
        <w:rPr>
          <w:rFonts w:ascii="Times New Roman" w:hAnsi="Times New Roman"/>
          <w:noProof/>
          <w:sz w:val="24"/>
          <w:szCs w:val="20"/>
        </w:rPr>
        <w:t xml:space="preserve">, ces coûts (principalement dans le secteur de la production d’électricité et dans les secteurs industriels) </w:t>
      </w:r>
      <w:r>
        <w:rPr>
          <w:rFonts w:ascii="Times New Roman" w:hAnsi="Times New Roman"/>
          <w:noProof/>
          <w:sz w:val="24"/>
          <w:szCs w:val="20"/>
        </w:rPr>
        <w:t>devraient encore diminuer et s’élever à  540 millions d’euros (soit 1,05 euro/personne/an). Selon toute attente, les avantages devraient être largement supérieurs aux dépenses occasionnées, et ce selon un facteur allant de 14 (estimation prudente) à 50.</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w:t>
      </w:r>
      <w:r>
        <w:rPr>
          <w:rFonts w:ascii="Times New Roman" w:hAnsi="Times New Roman"/>
          <w:noProof/>
          <w:sz w:val="24"/>
          <w:szCs w:val="20"/>
        </w:rPr>
        <w:t xml:space="preserve"> proportion des coûts de mise en œuvre supportés par chaque État membre varie également, et ce, en raison de différents facteurs, y compris la contribution apportée par les nouvelles dispositions législatives relatives aux sources d'émissions et les change</w:t>
      </w:r>
      <w:r>
        <w:rPr>
          <w:rFonts w:ascii="Times New Roman" w:hAnsi="Times New Roman"/>
          <w:noProof/>
          <w:sz w:val="24"/>
          <w:szCs w:val="20"/>
        </w:rPr>
        <w:t>ments dans les projections des bouquets énergétiques nationaux pour 2030 (notamment le recours accru au charbon dans certains États membres)</w:t>
      </w:r>
      <w:r>
        <w:rPr>
          <w:rFonts w:ascii="Times New Roman" w:eastAsia="Times New Roman" w:hAnsi="Times New Roman" w:cs="Times New Roman"/>
          <w:noProof/>
          <w:sz w:val="24"/>
          <w:szCs w:val="20"/>
          <w:lang w:val="en-GB" w:eastAsia="en-GB"/>
        </w:rPr>
        <w:footnoteReference w:id="29"/>
      </w:r>
      <w:r>
        <w:rPr>
          <w:noProof/>
        </w:rPr>
        <w:t>.</w:t>
      </w:r>
    </w:p>
    <w:p w:rsidR="00F045AF" w:rsidRDefault="00D30C28">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szCs w:val="20"/>
        </w:rPr>
        <w:t>Domaines pour lesquels des dispositions législatives supplémentaires relatives aux sources d'émissions pourraient</w:t>
      </w:r>
      <w:r>
        <w:rPr>
          <w:rFonts w:ascii="Times New Roman" w:hAnsi="Times New Roman"/>
          <w:i/>
          <w:noProof/>
          <w:sz w:val="24"/>
          <w:szCs w:val="20"/>
        </w:rPr>
        <w:t xml:space="preserve"> se révéler nécessaires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graphique 2a ci-après indique la proportion des réductions qui est atteinte grâce aux éléments suivants: a) la législation de base pré-2014, b) les dispositions législatives supplémentaires adoptées depuis 2014, c) les mesures ad</w:t>
      </w:r>
      <w:r>
        <w:rPr>
          <w:rFonts w:ascii="Times New Roman" w:hAnsi="Times New Roman"/>
          <w:noProof/>
          <w:sz w:val="24"/>
          <w:szCs w:val="20"/>
        </w:rPr>
        <w:t>ditionnelles requises afin de satisfaire les exigences de réduction des émissions (ERE) de la directive PEN et d) les mesures de réduction entraînant des avantages associés (voir la section 3.1 ci-dessus).  Les mesures de réduction entraînant des avantages</w:t>
      </w:r>
      <w:r>
        <w:rPr>
          <w:rFonts w:ascii="Times New Roman" w:hAnsi="Times New Roman"/>
          <w:noProof/>
          <w:sz w:val="24"/>
          <w:szCs w:val="20"/>
        </w:rPr>
        <w:t xml:space="preserve"> associés les plus pertinentes sont: a) l’interdiction de l’incinération des déchets agricoles prévue à l’annexe III de la directive PEN (qui réduit les émissions de PM</w:t>
      </w:r>
      <w:r>
        <w:rPr>
          <w:rFonts w:ascii="Times New Roman" w:hAnsi="Times New Roman"/>
          <w:noProof/>
          <w:sz w:val="24"/>
          <w:szCs w:val="20"/>
          <w:vertAlign w:val="subscript"/>
        </w:rPr>
        <w:t>2,5</w:t>
      </w:r>
      <w:r>
        <w:rPr>
          <w:rFonts w:ascii="Times New Roman" w:hAnsi="Times New Roman"/>
          <w:noProof/>
          <w:sz w:val="24"/>
          <w:szCs w:val="20"/>
        </w:rPr>
        <w:t>, de COV et de NH</w:t>
      </w:r>
      <w:r>
        <w:rPr>
          <w:rFonts w:ascii="Times New Roman" w:hAnsi="Times New Roman"/>
          <w:noProof/>
          <w:sz w:val="24"/>
          <w:szCs w:val="20"/>
          <w:vertAlign w:val="subscript"/>
        </w:rPr>
        <w:t>3</w:t>
      </w:r>
      <w:r>
        <w:rPr>
          <w:rFonts w:ascii="Times New Roman" w:hAnsi="Times New Roman"/>
          <w:noProof/>
          <w:sz w:val="24"/>
          <w:szCs w:val="20"/>
        </w:rPr>
        <w:t>, ainsi que celles de CO et de CH</w:t>
      </w:r>
      <w:r>
        <w:rPr>
          <w:rFonts w:ascii="Times New Roman" w:hAnsi="Times New Roman"/>
          <w:noProof/>
          <w:sz w:val="24"/>
          <w:szCs w:val="20"/>
          <w:vertAlign w:val="subscript"/>
        </w:rPr>
        <w:t>4</w:t>
      </w:r>
      <w:r>
        <w:rPr>
          <w:rFonts w:ascii="Times New Roman" w:hAnsi="Times New Roman"/>
          <w:noProof/>
          <w:sz w:val="24"/>
          <w:szCs w:val="20"/>
        </w:rPr>
        <w:t xml:space="preserve">); b) la réduction des émissions </w:t>
      </w:r>
      <w:r>
        <w:rPr>
          <w:rFonts w:ascii="Times New Roman" w:hAnsi="Times New Roman"/>
          <w:noProof/>
          <w:sz w:val="24"/>
          <w:szCs w:val="20"/>
        </w:rPr>
        <w:t>provenant des poêles à bois selon les normes d’écoconception (qui réduit les émissions de PM</w:t>
      </w:r>
      <w:r>
        <w:rPr>
          <w:rFonts w:ascii="Times New Roman" w:hAnsi="Times New Roman"/>
          <w:noProof/>
          <w:sz w:val="24"/>
          <w:szCs w:val="20"/>
          <w:vertAlign w:val="subscript"/>
        </w:rPr>
        <w:t>2,5</w:t>
      </w:r>
      <w:r>
        <w:rPr>
          <w:rFonts w:ascii="Times New Roman" w:hAnsi="Times New Roman"/>
          <w:noProof/>
          <w:sz w:val="24"/>
          <w:szCs w:val="20"/>
        </w:rPr>
        <w:t>, de COV, de NO</w:t>
      </w:r>
      <w:r>
        <w:rPr>
          <w:rFonts w:ascii="Times New Roman" w:hAnsi="Times New Roman"/>
          <w:noProof/>
          <w:sz w:val="24"/>
          <w:szCs w:val="20"/>
          <w:vertAlign w:val="subscript"/>
        </w:rPr>
        <w:t>x</w:t>
      </w:r>
      <w:r>
        <w:rPr>
          <w:rFonts w:ascii="Times New Roman" w:hAnsi="Times New Roman"/>
          <w:noProof/>
          <w:sz w:val="24"/>
          <w:szCs w:val="20"/>
        </w:rPr>
        <w:t xml:space="preserve"> et de NH</w:t>
      </w:r>
      <w:r>
        <w:rPr>
          <w:rFonts w:ascii="Times New Roman" w:hAnsi="Times New Roman"/>
          <w:noProof/>
          <w:sz w:val="24"/>
          <w:szCs w:val="20"/>
          <w:vertAlign w:val="subscript"/>
        </w:rPr>
        <w:t>3</w:t>
      </w:r>
      <w:r>
        <w:rPr>
          <w:rFonts w:ascii="Times New Roman" w:hAnsi="Times New Roman"/>
          <w:noProof/>
          <w:sz w:val="24"/>
          <w:szCs w:val="20"/>
        </w:rPr>
        <w:t>, ainsi que celles de CO et de CH</w:t>
      </w:r>
      <w:r>
        <w:rPr>
          <w:rFonts w:ascii="Times New Roman" w:hAnsi="Times New Roman"/>
          <w:noProof/>
          <w:sz w:val="24"/>
          <w:szCs w:val="20"/>
          <w:vertAlign w:val="subscript"/>
        </w:rPr>
        <w:t>4</w:t>
      </w:r>
      <w:r>
        <w:rPr>
          <w:rFonts w:ascii="Times New Roman" w:hAnsi="Times New Roman"/>
          <w:noProof/>
          <w:sz w:val="24"/>
          <w:szCs w:val="20"/>
        </w:rPr>
        <w:t>); et c) le contrôle des émissions provenant des poêles à charbon, également au titre de l’écoconcept</w:t>
      </w:r>
      <w:r>
        <w:rPr>
          <w:rFonts w:ascii="Times New Roman" w:hAnsi="Times New Roman"/>
          <w:noProof/>
          <w:sz w:val="24"/>
          <w:szCs w:val="20"/>
        </w:rPr>
        <w:t>ion (qui réduit les émissions de PM</w:t>
      </w:r>
      <w:r>
        <w:rPr>
          <w:rFonts w:ascii="Times New Roman" w:hAnsi="Times New Roman"/>
          <w:noProof/>
          <w:sz w:val="24"/>
          <w:szCs w:val="20"/>
          <w:vertAlign w:val="subscript"/>
        </w:rPr>
        <w:t>2,5</w:t>
      </w:r>
      <w:r>
        <w:rPr>
          <w:rFonts w:ascii="Times New Roman" w:hAnsi="Times New Roman"/>
          <w:noProof/>
          <w:sz w:val="24"/>
          <w:szCs w:val="20"/>
        </w:rPr>
        <w:t>, de COV, de SO</w:t>
      </w:r>
      <w:r>
        <w:rPr>
          <w:rFonts w:ascii="Times New Roman" w:hAnsi="Times New Roman"/>
          <w:noProof/>
          <w:sz w:val="24"/>
          <w:szCs w:val="20"/>
          <w:vertAlign w:val="subscript"/>
        </w:rPr>
        <w:t>2</w:t>
      </w:r>
      <w:r>
        <w:rPr>
          <w:rFonts w:ascii="Times New Roman" w:hAnsi="Times New Roman"/>
          <w:noProof/>
          <w:sz w:val="24"/>
          <w:szCs w:val="20"/>
        </w:rPr>
        <w:t xml:space="preserve"> et de NO</w:t>
      </w:r>
      <w:r>
        <w:rPr>
          <w:rFonts w:ascii="Times New Roman" w:hAnsi="Times New Roman"/>
          <w:noProof/>
          <w:sz w:val="24"/>
          <w:szCs w:val="20"/>
          <w:vertAlign w:val="subscript"/>
        </w:rPr>
        <w:t>x</w:t>
      </w:r>
      <w:r>
        <w:rPr>
          <w:rFonts w:ascii="Times New Roman" w:hAnsi="Times New Roman"/>
          <w:noProof/>
          <w:sz w:val="24"/>
          <w:szCs w:val="20"/>
        </w:rPr>
        <w:t>).</w:t>
      </w:r>
    </w:p>
    <w:p w:rsidR="00F045AF" w:rsidRDefault="00D30C28">
      <w:pPr>
        <w:spacing w:before="120" w:after="120" w:line="240" w:lineRule="auto"/>
        <w:jc w:val="both"/>
        <w:rPr>
          <w:rFonts w:ascii="Times New Roman" w:hAnsi="Times New Roman"/>
          <w:noProof/>
          <w:sz w:val="24"/>
          <w:szCs w:val="20"/>
        </w:rPr>
      </w:pPr>
      <w:r>
        <w:rPr>
          <w:rFonts w:ascii="Times New Roman" w:hAnsi="Times New Roman"/>
          <w:noProof/>
          <w:sz w:val="24"/>
          <w:szCs w:val="20"/>
        </w:rPr>
        <w:t>De manière générale, l’analyse confirme la validité de l’approche adoptée dans la proposition originale.  En ce qui concerne les émissions de SO</w:t>
      </w:r>
      <w:r>
        <w:rPr>
          <w:rFonts w:ascii="Times New Roman" w:hAnsi="Times New Roman"/>
          <w:noProof/>
          <w:sz w:val="24"/>
          <w:szCs w:val="20"/>
          <w:vertAlign w:val="subscript"/>
        </w:rPr>
        <w:t>2</w:t>
      </w:r>
      <w:r>
        <w:rPr>
          <w:rFonts w:ascii="Times New Roman" w:hAnsi="Times New Roman"/>
          <w:noProof/>
          <w:sz w:val="24"/>
          <w:szCs w:val="20"/>
        </w:rPr>
        <w:t xml:space="preserve"> et de NO</w:t>
      </w:r>
      <w:r>
        <w:rPr>
          <w:rFonts w:ascii="Times New Roman" w:hAnsi="Times New Roman"/>
          <w:noProof/>
          <w:sz w:val="24"/>
          <w:szCs w:val="20"/>
          <w:vertAlign w:val="subscript"/>
        </w:rPr>
        <w:t>x</w:t>
      </w:r>
      <w:r>
        <w:rPr>
          <w:rFonts w:ascii="Times New Roman" w:hAnsi="Times New Roman"/>
          <w:noProof/>
          <w:sz w:val="24"/>
          <w:szCs w:val="20"/>
        </w:rPr>
        <w:t>, de fortes réductions ont été réa</w:t>
      </w:r>
      <w:r>
        <w:rPr>
          <w:rFonts w:ascii="Times New Roman" w:hAnsi="Times New Roman"/>
          <w:noProof/>
          <w:sz w:val="24"/>
          <w:szCs w:val="20"/>
        </w:rPr>
        <w:t>lisées par la législation qui était déjà en vigueur en 2013. Le principal effet des engagements de réduction est de renforcer celle-ci et de garantir que les modifications d’activités (par exemple, l’augmentation de l’utilisation de charbon dans certains É</w:t>
      </w:r>
      <w:r>
        <w:rPr>
          <w:rFonts w:ascii="Times New Roman" w:hAnsi="Times New Roman"/>
          <w:noProof/>
          <w:sz w:val="24"/>
          <w:szCs w:val="20"/>
        </w:rPr>
        <w:t>tats membres) n’affectent pas la réduction globale. En ce qui concerne les émissions de PM et de COV, l’incidence de la directive PEN et de la législation supplémentaire adoptée depuis 2014 est bien supérieure, et met en évidence les réductions moindres ré</w:t>
      </w:r>
      <w:r>
        <w:rPr>
          <w:rFonts w:ascii="Times New Roman" w:hAnsi="Times New Roman"/>
          <w:noProof/>
          <w:sz w:val="24"/>
          <w:szCs w:val="20"/>
        </w:rPr>
        <w:t xml:space="preserve">alisées grâce aux dispositions législatives antérieures. </w:t>
      </w:r>
    </w:p>
    <w:p w:rsidR="00F045AF" w:rsidRDefault="00D30C28">
      <w:pPr>
        <w:rPr>
          <w:rFonts w:ascii="Times New Roman" w:eastAsia="Times New Roman" w:hAnsi="Times New Roman" w:cs="Times New Roman"/>
          <w:b/>
          <w:noProof/>
        </w:rPr>
      </w:pPr>
      <w:r>
        <w:rPr>
          <w:rFonts w:ascii="Times New Roman" w:hAnsi="Times New Roman"/>
          <w:b/>
          <w:noProof/>
        </w:rPr>
        <w:t>Graphique 2a: Contributions aux exigences de réduction des émissions (ERE) apportées par: i) la législation de base pré-2014, ii) les mesures législatives post-2014, iii) les mesures supplémentaires</w:t>
      </w:r>
      <w:r>
        <w:rPr>
          <w:rFonts w:ascii="Times New Roman" w:hAnsi="Times New Roman"/>
          <w:b/>
          <w:noProof/>
        </w:rPr>
        <w:t xml:space="preserve"> requises pour satisfaire les exigences de réduction des émissions et iv) les réductions associées émanant de mesures ciblant d’autres émissions.  Émissions de SO</w:t>
      </w:r>
      <w:r>
        <w:rPr>
          <w:rFonts w:ascii="Times New Roman" w:hAnsi="Times New Roman"/>
          <w:b/>
          <w:noProof/>
          <w:vertAlign w:val="subscript"/>
        </w:rPr>
        <w:t>2</w:t>
      </w:r>
      <w:r>
        <w:rPr>
          <w:rFonts w:ascii="Times New Roman" w:hAnsi="Times New Roman"/>
          <w:b/>
          <w:noProof/>
        </w:rPr>
        <w:t>, de NO</w:t>
      </w:r>
      <w:r>
        <w:rPr>
          <w:rFonts w:ascii="Times New Roman" w:hAnsi="Times New Roman"/>
          <w:b/>
          <w:noProof/>
          <w:vertAlign w:val="subscript"/>
        </w:rPr>
        <w:t>x</w:t>
      </w:r>
      <w:r>
        <w:rPr>
          <w:rFonts w:ascii="Times New Roman" w:hAnsi="Times New Roman"/>
          <w:b/>
          <w:noProof/>
        </w:rPr>
        <w:t>, de COV et de PM</w:t>
      </w:r>
      <w:r>
        <w:rPr>
          <w:rFonts w:ascii="Times New Roman" w:hAnsi="Times New Roman"/>
          <w:b/>
          <w:noProof/>
          <w:vertAlign w:val="subscript"/>
        </w:rPr>
        <w:t>2,5</w:t>
      </w:r>
    </w:p>
    <w:p w:rsidR="00F045AF" w:rsidRDefault="00D30C28">
      <w:pPr>
        <w:spacing w:before="120" w:after="120" w:line="240" w:lineRule="auto"/>
        <w:jc w:val="both"/>
        <w:rPr>
          <w:rFonts w:ascii="Times New Roman" w:eastAsia="Times New Roman" w:hAnsi="Times New Roman" w:cs="Times New Roman"/>
          <w:noProof/>
          <w:sz w:val="24"/>
          <w:szCs w:val="20"/>
        </w:rPr>
      </w:pPr>
      <w:r>
        <w:rPr>
          <w:noProof/>
          <w:lang w:val="en-GB" w:eastAsia="en-GB"/>
        </w:rPr>
        <w:drawing>
          <wp:inline distT="0" distB="0" distL="0" distR="0">
            <wp:extent cx="2817198" cy="359123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1916" cy="3597245"/>
                    </a:xfrm>
                    <a:prstGeom prst="rect">
                      <a:avLst/>
                    </a:prstGeom>
                    <a:noFill/>
                    <a:ln>
                      <a:noFill/>
                    </a:ln>
                  </pic:spPr>
                </pic:pic>
              </a:graphicData>
            </a:graphic>
          </wp:inline>
        </w:drawing>
      </w:r>
      <w:r>
        <w:rPr>
          <w:noProof/>
          <w:lang w:val="en-GB" w:eastAsia="en-GB"/>
        </w:rPr>
        <w:drawing>
          <wp:inline distT="0" distB="0" distL="0" distR="0">
            <wp:extent cx="2806626" cy="35633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8301" cy="3565503"/>
                    </a:xfrm>
                    <a:prstGeom prst="rect">
                      <a:avLst/>
                    </a:prstGeom>
                    <a:noFill/>
                    <a:ln>
                      <a:noFill/>
                    </a:ln>
                  </pic:spPr>
                </pic:pic>
              </a:graphicData>
            </a:graphic>
          </wp:inline>
        </w:drawing>
      </w:r>
      <w:r>
        <w:rPr>
          <w:noProof/>
          <w:lang w:val="en-GB" w:eastAsia="en-GB"/>
        </w:rPr>
        <w:drawing>
          <wp:inline distT="0" distB="0" distL="0" distR="0">
            <wp:extent cx="2822484" cy="3561853"/>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2874" cy="3562345"/>
                    </a:xfrm>
                    <a:prstGeom prst="rect">
                      <a:avLst/>
                    </a:prstGeom>
                    <a:noFill/>
                    <a:ln>
                      <a:noFill/>
                    </a:ln>
                  </pic:spPr>
                </pic:pic>
              </a:graphicData>
            </a:graphic>
          </wp:inline>
        </w:drawing>
      </w:r>
      <w:r>
        <w:rPr>
          <w:noProof/>
          <w:lang w:val="en-GB" w:eastAsia="en-GB"/>
        </w:rPr>
        <w:drawing>
          <wp:inline distT="0" distB="0" distL="0" distR="0">
            <wp:extent cx="2806734" cy="355717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7670" cy="3558360"/>
                    </a:xfrm>
                    <a:prstGeom prst="rect">
                      <a:avLst/>
                    </a:prstGeom>
                    <a:noFill/>
                    <a:ln>
                      <a:noFill/>
                    </a:ln>
                  </pic:spPr>
                </pic:pic>
              </a:graphicData>
            </a:graphic>
          </wp:inline>
        </w:drawing>
      </w:r>
    </w:p>
    <w:p w:rsidR="00F045AF" w:rsidRDefault="00F045AF">
      <w:pPr>
        <w:spacing w:before="120" w:after="120" w:line="240" w:lineRule="auto"/>
        <w:jc w:val="both"/>
        <w:rPr>
          <w:rFonts w:ascii="Times New Roman" w:eastAsia="Times New Roman" w:hAnsi="Times New Roman" w:cs="Times New Roman"/>
          <w:noProof/>
          <w:sz w:val="24"/>
          <w:szCs w:val="20"/>
          <w:lang w:val="en-GB" w:eastAsia="en-GB"/>
        </w:rPr>
      </w:pP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En ce qui concerne les émissions de NH</w:t>
      </w:r>
      <w:r>
        <w:rPr>
          <w:rFonts w:ascii="Times New Roman" w:hAnsi="Times New Roman"/>
          <w:noProof/>
          <w:sz w:val="24"/>
          <w:szCs w:val="20"/>
          <w:vertAlign w:val="subscript"/>
        </w:rPr>
        <w:t>3</w:t>
      </w:r>
      <w:r>
        <w:rPr>
          <w:rFonts w:ascii="Times New Roman" w:hAnsi="Times New Roman"/>
          <w:noProof/>
          <w:sz w:val="24"/>
          <w:szCs w:val="20"/>
        </w:rPr>
        <w:t xml:space="preserve">, la situation est </w:t>
      </w:r>
      <w:r>
        <w:rPr>
          <w:rFonts w:ascii="Times New Roman" w:hAnsi="Times New Roman"/>
          <w:noProof/>
          <w:sz w:val="24"/>
          <w:szCs w:val="20"/>
        </w:rPr>
        <w:t xml:space="preserve">différente, comme le montre le graphique 2b.  Les réductions doivent être réalisées presque entièrement grâce à la directive PEN, avec une faible contribution des dispositions législatives reprises soit dans la législation relative aux sources d'émissions </w:t>
      </w:r>
      <w:r>
        <w:rPr>
          <w:rFonts w:ascii="Times New Roman" w:hAnsi="Times New Roman"/>
          <w:noProof/>
          <w:sz w:val="24"/>
          <w:szCs w:val="20"/>
        </w:rPr>
        <w:t>avant 2014, soit dans les mesures additionnelles adoptées depuis.</w:t>
      </w:r>
    </w:p>
    <w:p w:rsidR="00F045AF" w:rsidRDefault="00F045AF">
      <w:pPr>
        <w:spacing w:before="120" w:after="120" w:line="240" w:lineRule="auto"/>
        <w:jc w:val="both"/>
        <w:rPr>
          <w:rFonts w:ascii="Times New Roman" w:eastAsia="Times New Roman" w:hAnsi="Times New Roman" w:cs="Times New Roman"/>
          <w:noProof/>
          <w:sz w:val="24"/>
          <w:szCs w:val="20"/>
          <w:lang w:val="fr-BE" w:eastAsia="en-GB"/>
        </w:rPr>
      </w:pPr>
    </w:p>
    <w:p w:rsidR="00F045AF" w:rsidRDefault="00D30C28">
      <w:pPr>
        <w:spacing w:before="120" w:after="120" w:line="240" w:lineRule="auto"/>
        <w:jc w:val="both"/>
        <w:rPr>
          <w:rFonts w:ascii="Times New Roman" w:eastAsia="Times New Roman" w:hAnsi="Times New Roman" w:cs="Times New Roman"/>
          <w:b/>
          <w:noProof/>
        </w:rPr>
      </w:pPr>
      <w:r>
        <w:rPr>
          <w:rFonts w:ascii="Times New Roman" w:hAnsi="Times New Roman"/>
          <w:b/>
          <w:noProof/>
        </w:rPr>
        <w:t>Graphique 2b: Émissions de NH</w:t>
      </w:r>
      <w:r>
        <w:rPr>
          <w:rFonts w:ascii="Times New Roman" w:hAnsi="Times New Roman"/>
          <w:b/>
          <w:noProof/>
          <w:vertAlign w:val="subscript"/>
        </w:rPr>
        <w:t>3</w:t>
      </w:r>
      <w:r>
        <w:rPr>
          <w:rFonts w:ascii="Times New Roman" w:hAnsi="Times New Roman"/>
          <w:b/>
          <w:noProof/>
        </w:rPr>
        <w:t xml:space="preserve"> - contribution aux exigences de réduction des émissions (ERE) apportée par: i) la législation de base avant 2014; ii)les mesures législatives après 2014; </w:t>
      </w:r>
      <w:r>
        <w:rPr>
          <w:rFonts w:ascii="Times New Roman" w:hAnsi="Times New Roman"/>
          <w:b/>
          <w:noProof/>
        </w:rPr>
        <w:t>iii) les mesures supplémentaires requises pour satisfaire aux exigences de réduction des émissions; et iv) les réductions associées émanant de mesures ciblant d’autres émissions.</w:t>
      </w:r>
    </w:p>
    <w:p w:rsidR="00F045AF" w:rsidRDefault="00D30C28">
      <w:pPr>
        <w:keepNext/>
        <w:spacing w:after="120" w:line="240" w:lineRule="auto"/>
        <w:jc w:val="both"/>
        <w:rPr>
          <w:rFonts w:ascii="Times New Roman" w:eastAsia="Times New Roman" w:hAnsi="Times New Roman" w:cs="Times New Roman"/>
          <w:b/>
          <w:noProof/>
        </w:rPr>
      </w:pPr>
      <w:r>
        <w:rPr>
          <w:noProof/>
          <w:lang w:val="en-GB" w:eastAsia="en-GB"/>
        </w:rPr>
        <w:drawing>
          <wp:inline distT="0" distB="0" distL="0" distR="0">
            <wp:extent cx="2847517" cy="3562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0822" cy="3566485"/>
                    </a:xfrm>
                    <a:prstGeom prst="rect">
                      <a:avLst/>
                    </a:prstGeom>
                    <a:noFill/>
                    <a:ln>
                      <a:noFill/>
                    </a:ln>
                  </pic:spPr>
                </pic:pic>
              </a:graphicData>
            </a:graphic>
          </wp:inline>
        </w:drawing>
      </w:r>
    </w:p>
    <w:p w:rsidR="00F045AF" w:rsidRDefault="00F045AF">
      <w:pPr>
        <w:spacing w:before="120" w:after="120" w:line="240" w:lineRule="auto"/>
        <w:jc w:val="both"/>
        <w:rPr>
          <w:rFonts w:ascii="Times New Roman" w:eastAsia="Times New Roman" w:hAnsi="Times New Roman" w:cs="Times New Roman"/>
          <w:noProof/>
          <w:sz w:val="24"/>
          <w:szCs w:val="20"/>
          <w:lang w:val="en-GB" w:eastAsia="en-GB"/>
        </w:rPr>
      </w:pP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secteurs dans lesquels les réductions d’émissions de NH</w:t>
      </w:r>
      <w:r>
        <w:rPr>
          <w:rFonts w:ascii="Times New Roman" w:hAnsi="Times New Roman"/>
          <w:noProof/>
          <w:sz w:val="24"/>
          <w:szCs w:val="20"/>
          <w:vertAlign w:val="subscript"/>
        </w:rPr>
        <w:t>3</w:t>
      </w:r>
      <w:r>
        <w:rPr>
          <w:rFonts w:ascii="Times New Roman" w:hAnsi="Times New Roman"/>
          <w:noProof/>
          <w:sz w:val="24"/>
          <w:szCs w:val="20"/>
        </w:rPr>
        <w:t xml:space="preserve"> requises ont </w:t>
      </w:r>
      <w:r>
        <w:rPr>
          <w:rFonts w:ascii="Times New Roman" w:hAnsi="Times New Roman"/>
          <w:noProof/>
          <w:sz w:val="24"/>
          <w:szCs w:val="20"/>
        </w:rPr>
        <w:t xml:space="preserve">pu être réalisées sont indiqués dans le graphique 3 ci-après. Les mesures visant à réduire les émissions résultant de l’application d’engrais minéraux, notamment d’urée, sont reconnues comme présentant un bon rapport coût-efficacité dans de nombreux États </w:t>
      </w:r>
      <w:r>
        <w:rPr>
          <w:rFonts w:ascii="Times New Roman" w:hAnsi="Times New Roman"/>
          <w:noProof/>
          <w:sz w:val="24"/>
          <w:szCs w:val="20"/>
        </w:rPr>
        <w:t>membres. L’interdiction complète de l’utilisation d’urée n’a pas été incluse dans la directive PEN car il existe d'autres options viables, qui comprennent un calendrier et un taux d’application optimisés, l’utilisation d’inhibiteurs d’uréase disponibles su</w:t>
      </w:r>
      <w:r>
        <w:rPr>
          <w:rFonts w:ascii="Times New Roman" w:hAnsi="Times New Roman"/>
          <w:noProof/>
          <w:sz w:val="24"/>
          <w:szCs w:val="20"/>
        </w:rPr>
        <w:t>r le marché ou le passage à d’autres engrais minéraux présentant des émissions de NH</w:t>
      </w:r>
      <w:r>
        <w:rPr>
          <w:rFonts w:ascii="Times New Roman" w:hAnsi="Times New Roman"/>
          <w:noProof/>
          <w:sz w:val="24"/>
          <w:szCs w:val="20"/>
          <w:vertAlign w:val="subscript"/>
        </w:rPr>
        <w:t>3</w:t>
      </w:r>
      <w:r>
        <w:rPr>
          <w:rFonts w:ascii="Times New Roman" w:hAnsi="Times New Roman"/>
          <w:noProof/>
          <w:sz w:val="24"/>
          <w:szCs w:val="20"/>
        </w:rPr>
        <w:t xml:space="preserve"> inférieures (par exemple, le nitrate d’ammonium).  Une importante partie de la réduction sera réalisée grâce à la gestion des effluents dans les élevages de porcs et de v</w:t>
      </w:r>
      <w:r>
        <w:rPr>
          <w:rFonts w:ascii="Times New Roman" w:hAnsi="Times New Roman"/>
          <w:noProof/>
          <w:sz w:val="24"/>
          <w:szCs w:val="20"/>
        </w:rPr>
        <w:t>olailles, et les récentes conclusions sur les MTD pour l’élevage intensif de volailles ou de porcs</w:t>
      </w:r>
      <w:r>
        <w:rPr>
          <w:rFonts w:ascii="Times New Roman" w:eastAsia="Times New Roman" w:hAnsi="Times New Roman" w:cs="Times New Roman"/>
          <w:noProof/>
          <w:sz w:val="24"/>
          <w:szCs w:val="20"/>
          <w:lang w:val="en-GB" w:eastAsia="en-GB"/>
        </w:rPr>
        <w:footnoteReference w:id="30"/>
      </w:r>
      <w:r>
        <w:rPr>
          <w:rFonts w:ascii="Times New Roman" w:hAnsi="Times New Roman"/>
          <w:noProof/>
          <w:sz w:val="24"/>
          <w:szCs w:val="20"/>
        </w:rPr>
        <w:t xml:space="preserve"> (pas encore reprises dans l’analyse) pourraient contribuer aux réductions requises. Les mesures de gestion des effluents au-delà de ce cadre présentent égal</w:t>
      </w:r>
      <w:r>
        <w:rPr>
          <w:rFonts w:ascii="Times New Roman" w:hAnsi="Times New Roman"/>
          <w:noProof/>
          <w:sz w:val="24"/>
          <w:szCs w:val="20"/>
        </w:rPr>
        <w:t>ement un rapport coût-efficacité très satisfaisant et un régime simplifié fondé sur les MTD pour la gestion des effluents (par exemple, inspiré par l’expérience avec la directive relative aux émissions industrielles) apporterait un soutien de taille pour l</w:t>
      </w:r>
      <w:r>
        <w:rPr>
          <w:rFonts w:ascii="Times New Roman" w:hAnsi="Times New Roman"/>
          <w:noProof/>
          <w:sz w:val="24"/>
          <w:szCs w:val="20"/>
        </w:rPr>
        <w:t>eur mise en œuvre. Les synergies dans la mise en œuvre de la législation pertinente de l’Union, telle que la directive 91/676/CEE concernant les nitrates</w:t>
      </w:r>
      <w:r>
        <w:rPr>
          <w:rFonts w:ascii="Times New Roman" w:eastAsia="Times New Roman" w:hAnsi="Times New Roman" w:cs="Times New Roman"/>
          <w:noProof/>
          <w:sz w:val="24"/>
          <w:szCs w:val="20"/>
          <w:vertAlign w:val="superscript"/>
          <w:lang w:val="en-GB" w:eastAsia="en-GB"/>
        </w:rPr>
        <w:footnoteReference w:id="31"/>
      </w:r>
      <w:r>
        <w:rPr>
          <w:rFonts w:ascii="Times New Roman" w:hAnsi="Times New Roman"/>
          <w:noProof/>
          <w:sz w:val="24"/>
          <w:szCs w:val="20"/>
        </w:rPr>
        <w:t xml:space="preserve">, devraient aussi continuer d’être renforcées en encourageant les États membres à mettre en place des </w:t>
      </w:r>
      <w:r>
        <w:rPr>
          <w:rFonts w:ascii="Times New Roman" w:hAnsi="Times New Roman"/>
          <w:noProof/>
          <w:sz w:val="24"/>
          <w:szCs w:val="20"/>
        </w:rPr>
        <w:t>mesures de gestion pour faire face aux exigences relatives à l’air, à l’eau et aux sols de façon intégrée.</w:t>
      </w:r>
    </w:p>
    <w:p w:rsidR="00F045AF" w:rsidRDefault="00D30C28">
      <w:pPr>
        <w:keepNext/>
        <w:spacing w:after="120" w:line="240" w:lineRule="auto"/>
        <w:jc w:val="both"/>
        <w:rPr>
          <w:rFonts w:ascii="Times New Roman" w:eastAsia="Times New Roman" w:hAnsi="Times New Roman" w:cs="Times New Roman"/>
          <w:b/>
          <w:noProof/>
          <w:highlight w:val="yellow"/>
        </w:rPr>
      </w:pPr>
      <w:r>
        <w:rPr>
          <w:rFonts w:ascii="Times New Roman" w:hAnsi="Times New Roman"/>
          <w:b/>
          <w:noProof/>
        </w:rPr>
        <w:t>Graphique 3: Réductions supplémentaires des émissions de NH</w:t>
      </w:r>
      <w:r>
        <w:rPr>
          <w:rFonts w:ascii="Times New Roman" w:hAnsi="Times New Roman"/>
          <w:b/>
          <w:noProof/>
          <w:vertAlign w:val="subscript"/>
        </w:rPr>
        <w:t>3</w:t>
      </w:r>
      <w:r>
        <w:rPr>
          <w:rFonts w:ascii="Times New Roman" w:hAnsi="Times New Roman"/>
          <w:b/>
          <w:noProof/>
        </w:rPr>
        <w:t xml:space="preserve"> afin de satisfaire aux ERE d’ici 2030, au-delà de l'exigence de base de la législation de 2017, par secteur</w:t>
      </w:r>
    </w:p>
    <w:p w:rsidR="00F045AF" w:rsidRDefault="00D30C28">
      <w:pPr>
        <w:spacing w:before="120" w:after="120" w:line="240" w:lineRule="auto"/>
        <w:jc w:val="both"/>
        <w:rPr>
          <w:rFonts w:ascii="Times New Roman" w:eastAsia="Times New Roman" w:hAnsi="Times New Roman" w:cs="Times New Roman"/>
          <w:noProof/>
          <w:sz w:val="24"/>
          <w:szCs w:val="20"/>
        </w:rPr>
      </w:pPr>
      <w:r>
        <w:rPr>
          <w:noProof/>
          <w:lang w:val="en-GB" w:eastAsia="en-GB"/>
        </w:rPr>
        <w:drawing>
          <wp:inline distT="0" distB="0" distL="0" distR="0">
            <wp:extent cx="5761355" cy="3756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1355" cy="3756380"/>
                    </a:xfrm>
                    <a:prstGeom prst="rect">
                      <a:avLst/>
                    </a:prstGeom>
                    <a:noFill/>
                    <a:ln>
                      <a:noFill/>
                    </a:ln>
                  </pic:spPr>
                </pic:pic>
              </a:graphicData>
            </a:graphic>
          </wp:inline>
        </w:drawing>
      </w:r>
    </w:p>
    <w:p w:rsidR="00F045AF" w:rsidRDefault="00F045AF">
      <w:pPr>
        <w:spacing w:before="120" w:after="120" w:line="240" w:lineRule="auto"/>
        <w:jc w:val="both"/>
        <w:rPr>
          <w:rFonts w:ascii="Times New Roman" w:eastAsia="Times New Roman" w:hAnsi="Times New Roman" w:cs="Times New Roman"/>
          <w:noProof/>
          <w:sz w:val="24"/>
          <w:szCs w:val="20"/>
          <w:lang w:val="en-GB" w:eastAsia="en-GB"/>
        </w:rPr>
      </w:pPr>
    </w:p>
    <w:p w:rsidR="00F045AF" w:rsidRDefault="00D30C28">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szCs w:val="20"/>
        </w:rPr>
        <w:t>Incidences sectorielles et macroéconomiques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effets économiques de la réglementation en matière de pollution atmosphérique ne se limitent pas</w:t>
      </w:r>
      <w:r>
        <w:rPr>
          <w:rFonts w:ascii="Times New Roman" w:hAnsi="Times New Roman"/>
          <w:noProof/>
          <w:sz w:val="24"/>
          <w:szCs w:val="20"/>
        </w:rPr>
        <w:t xml:space="preserve"> aux coûts et aux avantages directs présentés dans les sections </w:t>
      </w:r>
      <w:r>
        <w:rPr>
          <w:rFonts w:ascii="Times New Roman" w:eastAsia="Times New Roman" w:hAnsi="Times New Roman" w:cs="Times New Roman"/>
          <w:noProof/>
          <w:sz w:val="24"/>
          <w:szCs w:val="20"/>
        </w:rPr>
        <w:t>3.1</w:t>
      </w:r>
      <w:r>
        <w:rPr>
          <w:rFonts w:ascii="Times New Roman" w:hAnsi="Times New Roman"/>
          <w:noProof/>
          <w:sz w:val="24"/>
          <w:szCs w:val="20"/>
        </w:rPr>
        <w:t xml:space="preserve"> et </w:t>
      </w:r>
      <w:r>
        <w:rPr>
          <w:rFonts w:ascii="Times New Roman" w:eastAsia="Times New Roman" w:hAnsi="Times New Roman" w:cs="Times New Roman"/>
          <w:noProof/>
          <w:sz w:val="24"/>
          <w:szCs w:val="20"/>
        </w:rPr>
        <w:t>3.2.2</w:t>
      </w:r>
      <w:r>
        <w:rPr>
          <w:rFonts w:ascii="Times New Roman" w:hAnsi="Times New Roman"/>
          <w:noProof/>
          <w:sz w:val="24"/>
          <w:szCs w:val="20"/>
        </w:rPr>
        <w:t>. En premier lieu, la mise en œuvre de technologies de réduction de la pollution génère une demande supplémentaire pour les secteurs qui fournissent les produits de réduction des é</w:t>
      </w:r>
      <w:r>
        <w:rPr>
          <w:rFonts w:ascii="Times New Roman" w:hAnsi="Times New Roman"/>
          <w:noProof/>
          <w:sz w:val="24"/>
          <w:szCs w:val="20"/>
        </w:rPr>
        <w:t>missions. En deuxième lieu, l’augmentation des coûts de réduction des émissions peut influencer la compétitivité des secteurs actifs sur un marché international. En troisième lieu, les incidences sur la production d’un secteur peuvent donner lieu à des inc</w:t>
      </w:r>
      <w:r>
        <w:rPr>
          <w:rFonts w:ascii="Times New Roman" w:hAnsi="Times New Roman"/>
          <w:noProof/>
          <w:sz w:val="24"/>
          <w:szCs w:val="20"/>
        </w:rPr>
        <w:t>idences à l’échelle de l’économie tout entière en affectant la demande de biens intermédiaires et de main-d’œuvre. Ce dernier point implique des changements dans l’emploi et les salaires, affectant les revenus disponibles et le bien-être des ménages.</w:t>
      </w:r>
    </w:p>
    <w:p w:rsidR="00F045AF" w:rsidRDefault="00D30C28">
      <w:pPr>
        <w:spacing w:before="120" w:after="120" w:line="240" w:lineRule="auto"/>
        <w:jc w:val="both"/>
        <w:rPr>
          <w:rFonts w:ascii="Times New Roman" w:hAnsi="Times New Roman"/>
          <w:noProof/>
          <w:sz w:val="24"/>
          <w:szCs w:val="20"/>
        </w:rPr>
      </w:pPr>
      <w:r>
        <w:rPr>
          <w:rFonts w:ascii="Times New Roman" w:hAnsi="Times New Roman"/>
          <w:noProof/>
          <w:sz w:val="24"/>
          <w:szCs w:val="20"/>
        </w:rPr>
        <w:t xml:space="preserve">Pour </w:t>
      </w:r>
      <w:r>
        <w:rPr>
          <w:rFonts w:ascii="Times New Roman" w:hAnsi="Times New Roman"/>
          <w:noProof/>
          <w:sz w:val="24"/>
          <w:szCs w:val="20"/>
        </w:rPr>
        <w:t xml:space="preserve">tenir compte de ces effets indirects, les incidences macro-économiques et sectorielles de la réalisation des engagements pour 2030 ont été calculées (en utilisant le modèle JRC-GEM-E3). Elles sont présentées dans le tableau 2 ci-après et sont sommairement </w:t>
      </w:r>
      <w:r>
        <w:rPr>
          <w:rFonts w:ascii="Times New Roman" w:hAnsi="Times New Roman"/>
          <w:noProof/>
          <w:sz w:val="24"/>
          <w:szCs w:val="20"/>
        </w:rPr>
        <w:t>définies dans l’analyse d’impact de 2013 qui accompagne la proposition de la Commission relative à la directive PEN: les coûts pour atteindre les engagements de réduction pour 2030 sont plus que compensés par les bénéfices pour la santé et l’agriculture (d</w:t>
      </w:r>
      <w:r>
        <w:rPr>
          <w:rFonts w:ascii="Times New Roman" w:hAnsi="Times New Roman"/>
          <w:noProof/>
          <w:sz w:val="24"/>
          <w:szCs w:val="20"/>
        </w:rPr>
        <w:t>iminution des congés de maladie et amélioration des rendements des cultures), ayant une faible incidence positive sur le PIB. Les secteurs qui supportent une part substantielle des coûts (par exemple l’agriculture) connaissent une légère diminution de la p</w:t>
      </w:r>
      <w:r>
        <w:rPr>
          <w:rFonts w:ascii="Times New Roman" w:hAnsi="Times New Roman"/>
          <w:noProof/>
          <w:sz w:val="24"/>
          <w:szCs w:val="20"/>
        </w:rPr>
        <w:t>roduction alors que celle-ci enregistre une tendance à la hausse dans les secteurs qui bénéficient d’une demande accrue de produits de réduction tels que les appareils électriques, les transports et d’autres biens d’équipement.</w:t>
      </w:r>
      <w:bookmarkStart w:id="7" w:name="_Ref496860719"/>
    </w:p>
    <w:p w:rsidR="00F045AF" w:rsidRDefault="00D30C28">
      <w:pPr>
        <w:spacing w:before="120" w:after="120" w:line="240" w:lineRule="auto"/>
        <w:jc w:val="both"/>
        <w:rPr>
          <w:rFonts w:ascii="Times New Roman" w:eastAsia="Times New Roman" w:hAnsi="Times New Roman" w:cs="Times New Roman"/>
          <w:b/>
          <w:bCs/>
          <w:noProof/>
        </w:rPr>
      </w:pPr>
      <w:r>
        <w:rPr>
          <w:rFonts w:ascii="Times New Roman" w:hAnsi="Times New Roman"/>
          <w:b/>
          <w:bCs/>
          <w:noProof/>
        </w:rPr>
        <w:t>Tableau 2</w:t>
      </w:r>
      <w:bookmarkEnd w:id="7"/>
      <w:r>
        <w:rPr>
          <w:rFonts w:ascii="Times New Roman" w:hAnsi="Times New Roman"/>
          <w:b/>
          <w:bCs/>
          <w:noProof/>
        </w:rPr>
        <w:t>: Incidence de la r</w:t>
      </w:r>
      <w:r>
        <w:rPr>
          <w:rFonts w:ascii="Times New Roman" w:hAnsi="Times New Roman"/>
          <w:b/>
          <w:bCs/>
          <w:noProof/>
        </w:rPr>
        <w:t>éalisation des engagements de réduction des émissions pour 2030 sur le PIB et la production sectorielle Source: JRC-GEM-E3.</w:t>
      </w:r>
    </w:p>
    <w:tbl>
      <w:tblPr>
        <w:tblW w:w="9245" w:type="dxa"/>
        <w:tblInd w:w="93" w:type="dxa"/>
        <w:tblLook w:val="04A0" w:firstRow="1" w:lastRow="0" w:firstColumn="1" w:lastColumn="0" w:noHBand="0" w:noVBand="1"/>
      </w:tblPr>
      <w:tblGrid>
        <w:gridCol w:w="3496"/>
        <w:gridCol w:w="833"/>
        <w:gridCol w:w="928"/>
        <w:gridCol w:w="1066"/>
        <w:gridCol w:w="928"/>
        <w:gridCol w:w="1066"/>
        <w:gridCol w:w="928"/>
      </w:tblGrid>
      <w:tr w:rsidR="00F045AF">
        <w:trPr>
          <w:trHeight w:val="268"/>
        </w:trPr>
        <w:tc>
          <w:tcPr>
            <w:tcW w:w="3496" w:type="dxa"/>
            <w:tcBorders>
              <w:top w:val="single" w:sz="4" w:space="0" w:color="auto"/>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La référence* comprend</w:t>
            </w:r>
          </w:p>
        </w:tc>
        <w:tc>
          <w:tcPr>
            <w:tcW w:w="833" w:type="dxa"/>
            <w:tcBorders>
              <w:top w:val="single" w:sz="4" w:space="0" w:color="auto"/>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928" w:type="dxa"/>
            <w:tcBorders>
              <w:top w:val="single" w:sz="4" w:space="0" w:color="auto"/>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1066" w:type="dxa"/>
            <w:tcBorders>
              <w:top w:val="single" w:sz="4" w:space="0" w:color="auto"/>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928" w:type="dxa"/>
            <w:tcBorders>
              <w:top w:val="single" w:sz="4" w:space="0" w:color="auto"/>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1066" w:type="dxa"/>
            <w:tcBorders>
              <w:top w:val="single" w:sz="4" w:space="0" w:color="auto"/>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928" w:type="dxa"/>
            <w:tcBorders>
              <w:top w:val="single" w:sz="4" w:space="0" w:color="auto"/>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r>
      <w:tr w:rsidR="00F045AF">
        <w:trPr>
          <w:trHeight w:val="268"/>
        </w:trPr>
        <w:tc>
          <w:tcPr>
            <w:tcW w:w="3496" w:type="dxa"/>
            <w:tcBorders>
              <w:top w:val="nil"/>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La législation relative aux sources d'émissions adoptée depuis 2014?</w:t>
            </w:r>
          </w:p>
        </w:tc>
        <w:tc>
          <w:tcPr>
            <w:tcW w:w="833" w:type="dxa"/>
            <w:tcBorders>
              <w:top w:val="nil"/>
              <w:left w:val="nil"/>
              <w:bottom w:val="nil"/>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nil"/>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r>
      <w:tr w:rsidR="00F045AF">
        <w:trPr>
          <w:trHeight w:val="268"/>
        </w:trPr>
        <w:tc>
          <w:tcPr>
            <w:tcW w:w="3496" w:type="dxa"/>
            <w:tcBorders>
              <w:top w:val="nil"/>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xml:space="preserve">   Le paquet sur le climat et l’énergie</w:t>
            </w:r>
            <w:r>
              <w:rPr>
                <w:rFonts w:ascii="Times New Roman" w:eastAsia="Times New Roman" w:hAnsi="Times New Roman" w:cs="Times New Roman"/>
                <w:noProof/>
                <w:color w:val="000000"/>
                <w:sz w:val="20"/>
                <w:szCs w:val="20"/>
                <w:vertAlign w:val="superscript"/>
                <w:lang w:val="en-GB" w:eastAsia="en-GB"/>
              </w:rPr>
              <w:footnoteReference w:id="32"/>
            </w:r>
            <w:r>
              <w:rPr>
                <w:rFonts w:ascii="Times New Roman" w:hAnsi="Times New Roman"/>
                <w:noProof/>
                <w:color w:val="000000"/>
                <w:sz w:val="20"/>
                <w:szCs w:val="20"/>
              </w:rPr>
              <w:t>?</w:t>
            </w:r>
          </w:p>
        </w:tc>
        <w:tc>
          <w:tcPr>
            <w:tcW w:w="833" w:type="dxa"/>
            <w:tcBorders>
              <w:top w:val="nil"/>
              <w:left w:val="nil"/>
              <w:bottom w:val="nil"/>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nil"/>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1066" w:type="dxa"/>
            <w:tcBorders>
              <w:top w:val="nil"/>
              <w:left w:val="nil"/>
              <w:bottom w:val="nil"/>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nil"/>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r>
      <w:tr w:rsidR="00F045AF">
        <w:trPr>
          <w:trHeight w:val="395"/>
        </w:trPr>
        <w:tc>
          <w:tcPr>
            <w:tcW w:w="3496" w:type="dxa"/>
            <w:tcBorders>
              <w:top w:val="nil"/>
              <w:left w:val="nil"/>
              <w:bottom w:val="single" w:sz="4" w:space="0" w:color="auto"/>
              <w:right w:val="nil"/>
            </w:tcBorders>
            <w:shd w:val="clear" w:color="auto" w:fill="auto"/>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Les avantages pour la santé et le rendement des cultures sont-ils inclus?</w:t>
            </w:r>
          </w:p>
        </w:tc>
        <w:tc>
          <w:tcPr>
            <w:tcW w:w="833" w:type="dxa"/>
            <w:tcBorders>
              <w:top w:val="nil"/>
              <w:left w:val="nil"/>
              <w:bottom w:val="single" w:sz="4" w:space="0" w:color="auto"/>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1066" w:type="dxa"/>
            <w:tcBorders>
              <w:top w:val="nil"/>
              <w:left w:val="nil"/>
              <w:bottom w:val="single" w:sz="4" w:space="0" w:color="auto"/>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c>
          <w:tcPr>
            <w:tcW w:w="1066" w:type="dxa"/>
            <w:tcBorders>
              <w:top w:val="nil"/>
              <w:left w:val="nil"/>
              <w:bottom w:val="single" w:sz="4" w:space="0" w:color="auto"/>
              <w:right w:val="nil"/>
            </w:tcBorders>
            <w:shd w:val="clear" w:color="auto" w:fill="auto"/>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Non</w:t>
            </w:r>
          </w:p>
        </w:tc>
        <w:tc>
          <w:tcPr>
            <w:tcW w:w="928"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Oui</w:t>
            </w:r>
          </w:p>
        </w:tc>
      </w:tr>
      <w:tr w:rsidR="00F045AF">
        <w:trPr>
          <w:trHeight w:val="122"/>
        </w:trPr>
        <w:tc>
          <w:tcPr>
            <w:tcW w:w="3496"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833"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r>
      <w:tr w:rsidR="00F045AF">
        <w:trPr>
          <w:trHeight w:val="268"/>
        </w:trPr>
        <w:tc>
          <w:tcPr>
            <w:tcW w:w="3496" w:type="dxa"/>
            <w:tcBorders>
              <w:top w:val="nil"/>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PIB</w:t>
            </w:r>
          </w:p>
        </w:tc>
        <w:tc>
          <w:tcPr>
            <w:tcW w:w="833"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-0,010</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0,006</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-0,005</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0,006</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-0,002</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0,006</w:t>
            </w:r>
          </w:p>
        </w:tc>
      </w:tr>
      <w:tr w:rsidR="00F045AF">
        <w:trPr>
          <w:trHeight w:val="196"/>
        </w:trPr>
        <w:tc>
          <w:tcPr>
            <w:tcW w:w="3496"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833"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1066"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c>
          <w:tcPr>
            <w:tcW w:w="928" w:type="dxa"/>
            <w:tcBorders>
              <w:top w:val="nil"/>
              <w:left w:val="nil"/>
              <w:bottom w:val="nil"/>
              <w:right w:val="nil"/>
            </w:tcBorders>
            <w:shd w:val="clear" w:color="auto" w:fill="auto"/>
            <w:noWrap/>
            <w:vAlign w:val="bottom"/>
            <w:hideMark/>
          </w:tcPr>
          <w:p w:rsidR="00F045AF" w:rsidRDefault="00F045AF">
            <w:pPr>
              <w:spacing w:after="0" w:line="240" w:lineRule="auto"/>
              <w:rPr>
                <w:rFonts w:ascii="Times New Roman" w:eastAsia="Times New Roman" w:hAnsi="Times New Roman" w:cs="Times New Roman"/>
                <w:noProof/>
                <w:color w:val="000000"/>
                <w:sz w:val="20"/>
                <w:szCs w:val="20"/>
                <w:lang w:val="en-GB" w:eastAsia="en-GB"/>
              </w:rPr>
            </w:pPr>
          </w:p>
        </w:tc>
      </w:tr>
      <w:tr w:rsidR="00F045AF">
        <w:trPr>
          <w:trHeight w:val="268"/>
        </w:trPr>
        <w:tc>
          <w:tcPr>
            <w:tcW w:w="3496" w:type="dxa"/>
            <w:tcBorders>
              <w:top w:val="nil"/>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Agriculture</w:t>
            </w:r>
          </w:p>
        </w:tc>
        <w:tc>
          <w:tcPr>
            <w:tcW w:w="833"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-0,09</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-0,04</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-0,05</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-0,07</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-0,07</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-0,05</w:t>
            </w:r>
          </w:p>
        </w:tc>
      </w:tr>
      <w:tr w:rsidR="00F045AF">
        <w:trPr>
          <w:trHeight w:val="268"/>
        </w:trPr>
        <w:tc>
          <w:tcPr>
            <w:tcW w:w="3496" w:type="dxa"/>
            <w:tcBorders>
              <w:top w:val="nil"/>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Énergie</w:t>
            </w:r>
          </w:p>
        </w:tc>
        <w:tc>
          <w:tcPr>
            <w:tcW w:w="833"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0,03</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r>
      <w:tr w:rsidR="00F045AF">
        <w:trPr>
          <w:trHeight w:val="268"/>
        </w:trPr>
        <w:tc>
          <w:tcPr>
            <w:tcW w:w="3496" w:type="dxa"/>
            <w:tcBorders>
              <w:top w:val="nil"/>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Industries à forte intensité énergétique</w:t>
            </w:r>
          </w:p>
        </w:tc>
        <w:tc>
          <w:tcPr>
            <w:tcW w:w="833"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r>
      <w:tr w:rsidR="00F045AF">
        <w:trPr>
          <w:trHeight w:val="268"/>
        </w:trPr>
        <w:tc>
          <w:tcPr>
            <w:tcW w:w="3496" w:type="dxa"/>
            <w:tcBorders>
              <w:top w:val="nil"/>
              <w:left w:val="nil"/>
              <w:bottom w:val="nil"/>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Autres industries</w:t>
            </w:r>
          </w:p>
        </w:tc>
        <w:tc>
          <w:tcPr>
            <w:tcW w:w="833"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0,03</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c>
          <w:tcPr>
            <w:tcW w:w="1066"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nil"/>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0,02</w:t>
            </w:r>
          </w:p>
        </w:tc>
      </w:tr>
      <w:tr w:rsidR="00F045AF">
        <w:trPr>
          <w:trHeight w:val="268"/>
        </w:trPr>
        <w:tc>
          <w:tcPr>
            <w:tcW w:w="3496"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Services</w:t>
            </w:r>
          </w:p>
        </w:tc>
        <w:tc>
          <w:tcPr>
            <w:tcW w:w="833"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1066"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c>
          <w:tcPr>
            <w:tcW w:w="1066"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0,00</w:t>
            </w:r>
          </w:p>
        </w:tc>
        <w:tc>
          <w:tcPr>
            <w:tcW w:w="928" w:type="dxa"/>
            <w:tcBorders>
              <w:top w:val="nil"/>
              <w:left w:val="nil"/>
              <w:bottom w:val="single" w:sz="4" w:space="0" w:color="auto"/>
              <w:right w:val="nil"/>
            </w:tcBorders>
            <w:shd w:val="clear" w:color="auto" w:fill="auto"/>
            <w:noWrap/>
            <w:vAlign w:val="bottom"/>
            <w:hideMark/>
          </w:tcPr>
          <w:p w:rsidR="00F045AF" w:rsidRDefault="00D30C28">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0,01</w:t>
            </w:r>
          </w:p>
        </w:tc>
      </w:tr>
    </w:tbl>
    <w:p w:rsidR="00F045AF" w:rsidRDefault="00D30C28">
      <w:pPr>
        <w:spacing w:before="120" w:after="120" w:line="240" w:lineRule="auto"/>
        <w:jc w:val="both"/>
        <w:rPr>
          <w:rFonts w:ascii="Times New Roman" w:eastAsia="Times New Roman" w:hAnsi="Times New Roman" w:cs="Times New Roman"/>
          <w:noProof/>
          <w:sz w:val="16"/>
          <w:szCs w:val="16"/>
        </w:rPr>
      </w:pPr>
      <w:r>
        <w:rPr>
          <w:rFonts w:ascii="Times New Roman" w:hAnsi="Times New Roman"/>
          <w:noProof/>
          <w:sz w:val="16"/>
          <w:szCs w:val="16"/>
        </w:rPr>
        <w:t xml:space="preserve">* Les résultats indiquent la </w:t>
      </w:r>
      <w:r>
        <w:rPr>
          <w:rFonts w:ascii="Times New Roman" w:hAnsi="Times New Roman"/>
          <w:noProof/>
          <w:sz w:val="16"/>
          <w:szCs w:val="16"/>
        </w:rPr>
        <w:t>différence de pourcentage avec le point de référence concerné en 2030.</w:t>
      </w:r>
    </w:p>
    <w:p w:rsidR="00F045AF" w:rsidRDefault="00D30C28">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bookmarkStart w:id="8" w:name="_Ref497915952"/>
      <w:r>
        <w:rPr>
          <w:rFonts w:ascii="Times New Roman" w:hAnsi="Times New Roman"/>
          <w:i/>
          <w:noProof/>
          <w:sz w:val="24"/>
          <w:szCs w:val="20"/>
        </w:rPr>
        <w:t xml:space="preserve">Sources de financement de l’UE </w:t>
      </w:r>
      <w:bookmarkEnd w:id="8"/>
      <w:r>
        <w:rPr>
          <w:rFonts w:ascii="Times New Roman" w:hAnsi="Times New Roman"/>
          <w:i/>
          <w:noProof/>
          <w:sz w:val="24"/>
          <w:szCs w:val="20"/>
        </w:rPr>
        <w:t>contribuant à la qualité de l’air</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Des ressources substantielles sont mises à disposition à partir des fonds de l’UE, notamment dans des domaines tels que </w:t>
      </w:r>
      <w:r>
        <w:rPr>
          <w:rFonts w:ascii="Times New Roman" w:hAnsi="Times New Roman"/>
          <w:noProof/>
          <w:sz w:val="24"/>
          <w:szCs w:val="20"/>
        </w:rPr>
        <w:t>les transports, l’énergie, l’agriculture et l’industrie où les exigences de protection de l’environnement doivent être intégrées. Dans le cadre des Fonds structurels et d’investissement européens, les fonds liés aux objectifs thématiques 4 «Économie à faib</w:t>
      </w:r>
      <w:r>
        <w:rPr>
          <w:rFonts w:ascii="Times New Roman" w:hAnsi="Times New Roman"/>
          <w:noProof/>
          <w:sz w:val="24"/>
          <w:szCs w:val="20"/>
        </w:rPr>
        <w:t>le émission de carbone» (45 milliards d’euros), 6 «Protection de l’environnement et utilisation rationnelle des ressources» (63 milliards d’euros) et 7 «Infrastructures de réseaux dans les transports et l’énergie» (58 milliards d’euros) pourraient notammen</w:t>
      </w:r>
      <w:r>
        <w:rPr>
          <w:rFonts w:ascii="Times New Roman" w:hAnsi="Times New Roman"/>
          <w:noProof/>
          <w:sz w:val="24"/>
          <w:szCs w:val="20"/>
        </w:rPr>
        <w:t>t être mobilisés</w:t>
      </w:r>
      <w:r>
        <w:rPr>
          <w:rFonts w:ascii="Times New Roman" w:eastAsia="Times New Roman" w:hAnsi="Times New Roman" w:cs="Times New Roman"/>
          <w:noProof/>
          <w:sz w:val="24"/>
          <w:szCs w:val="20"/>
          <w:lang w:val="en-GB" w:eastAsia="en-GB"/>
        </w:rPr>
        <w:footnoteReference w:id="33"/>
      </w:r>
      <w:r>
        <w:rPr>
          <w:noProof/>
        </w:rPr>
        <w:t>.</w:t>
      </w:r>
      <w:r>
        <w:rPr>
          <w:rFonts w:ascii="Times New Roman" w:hAnsi="Times New Roman"/>
          <w:noProof/>
          <w:sz w:val="24"/>
          <w:szCs w:val="20"/>
        </w:rPr>
        <w:t xml:space="preserve">  Une étude récente</w:t>
      </w:r>
      <w:r>
        <w:rPr>
          <w:rFonts w:ascii="Times New Roman" w:eastAsia="Times New Roman" w:hAnsi="Times New Roman" w:cs="Times New Roman"/>
          <w:noProof/>
          <w:sz w:val="24"/>
          <w:szCs w:val="20"/>
          <w:lang w:val="en-GB" w:eastAsia="en-GB"/>
        </w:rPr>
        <w:footnoteReference w:id="34"/>
      </w:r>
      <w:r>
        <w:rPr>
          <w:rFonts w:ascii="Times New Roman" w:hAnsi="Times New Roman"/>
          <w:noProof/>
          <w:sz w:val="24"/>
          <w:szCs w:val="20"/>
        </w:rPr>
        <w:t xml:space="preserve"> a estimé, à titre provisoire, qu’environ 76 milliards d’euros ont été alloués aux mesures contribuant pleinement ou partiellement à la qualité de l’air dans le cadre du Fonds européen de développement régional (FEDER), du Fonds de Cohésion (FC) et du Fond</w:t>
      </w:r>
      <w:r>
        <w:rPr>
          <w:rFonts w:ascii="Times New Roman" w:hAnsi="Times New Roman"/>
          <w:noProof/>
          <w:sz w:val="24"/>
          <w:szCs w:val="20"/>
        </w:rPr>
        <w:t>s européen agricole pour le développement rural (FEADER). À plus petite échelle, le FEDER offre également des possibilités de financement pour l’innovation, conformément aux stratégies de spécialisation intelligentes régionales ou nationales, dont certaine</w:t>
      </w:r>
      <w:r>
        <w:rPr>
          <w:rFonts w:ascii="Times New Roman" w:hAnsi="Times New Roman"/>
          <w:noProof/>
          <w:sz w:val="24"/>
          <w:szCs w:val="20"/>
        </w:rPr>
        <w:t xml:space="preserve">s peuvent être utilisées pour la qualité de l’air. </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Dans le cadre du mécanisme pour l’interconnexion en Europe (MIE), 32 milliards d’euros du budget 2014-2020 de l’UE sont mis à disposition afin de cofinancer des projets de transport et d’énergie dans les </w:t>
      </w:r>
      <w:r>
        <w:rPr>
          <w:rFonts w:ascii="Times New Roman" w:hAnsi="Times New Roman"/>
          <w:noProof/>
          <w:sz w:val="24"/>
          <w:szCs w:val="20"/>
        </w:rPr>
        <w:t>États membres de l’UE, dont environ 9 milliards d’euros, provenant pour la plupart du pilier transport, ont été engagés pour des projets qui peuvent avoir une contribution positive sur la qualité de l’air. En ce qui concerne la recherche et l’innovation, d</w:t>
      </w:r>
      <w:r>
        <w:rPr>
          <w:rFonts w:ascii="Times New Roman" w:hAnsi="Times New Roman"/>
          <w:noProof/>
          <w:sz w:val="24"/>
          <w:szCs w:val="20"/>
        </w:rPr>
        <w:t>ans le cadre d’«Horizon 2020», on pourrait allouer jusqu’à 12 milliards d’euros à la réduction des émissions et à la qualité de l’air. Le programme LIFE soutient des projets pilotes et de démonstration ainsi que des projets intégrés pour la mise en œuvre d</w:t>
      </w:r>
      <w:r>
        <w:rPr>
          <w:rFonts w:ascii="Times New Roman" w:hAnsi="Times New Roman"/>
          <w:noProof/>
          <w:sz w:val="24"/>
          <w:szCs w:val="20"/>
        </w:rPr>
        <w:t>e plans relatifs à la qualité de l’air. On estime qu’environ 300 millions d’euros auront été mis à disposition pour des projets présentant une incidence directe ou indirecte sur la qualité de l’air pendant la période 2014-2020. Sur les 315 milliards d’euro</w:t>
      </w:r>
      <w:r>
        <w:rPr>
          <w:rFonts w:ascii="Times New Roman" w:hAnsi="Times New Roman"/>
          <w:noProof/>
          <w:sz w:val="24"/>
          <w:szCs w:val="20"/>
        </w:rPr>
        <w:t>s prévus pour des prêts et des instruments financiers dans le cadre du Fonds européen pour les investissements stratégiques (EFSI), il est estimé qu’environ 30 % (soit environ 95 milliards d’euros) auront été alloués à des projets liés à la qualité de l’ai</w:t>
      </w:r>
      <w:r>
        <w:rPr>
          <w:rFonts w:ascii="Times New Roman" w:hAnsi="Times New Roman"/>
          <w:noProof/>
          <w:sz w:val="24"/>
          <w:szCs w:val="20"/>
        </w:rPr>
        <w:t>r, comme dans le secteur de l’énergie et des transports, et la Banque européenne d’investissement offre également des possibilités.</w:t>
      </w:r>
    </w:p>
    <w:p w:rsidR="00F045AF" w:rsidRDefault="00D30C28">
      <w:pPr>
        <w:spacing w:before="120" w:after="120" w:line="240" w:lineRule="auto"/>
        <w:jc w:val="both"/>
        <w:rPr>
          <w:rFonts w:ascii="Times New Roman" w:hAnsi="Times New Roman"/>
          <w:noProof/>
          <w:sz w:val="24"/>
          <w:szCs w:val="20"/>
        </w:rPr>
      </w:pPr>
      <w:r>
        <w:rPr>
          <w:rFonts w:ascii="Times New Roman" w:hAnsi="Times New Roman"/>
          <w:noProof/>
          <w:sz w:val="24"/>
          <w:szCs w:val="20"/>
        </w:rPr>
        <w:t>Les dispositions financières de la directive PEN [articles 7 et 11, paragraphe 1, point c)] visent à encourager une meilleur</w:t>
      </w:r>
      <w:r>
        <w:rPr>
          <w:rFonts w:ascii="Times New Roman" w:hAnsi="Times New Roman"/>
          <w:noProof/>
          <w:sz w:val="24"/>
          <w:szCs w:val="20"/>
        </w:rPr>
        <w:t>e intégration et une utilisation plus efficace des financements en faveur de la qualité de l’air. Les États membres sont encouragés à utiliser au maximum les financements disponibles.</w:t>
      </w:r>
    </w:p>
    <w:p w:rsidR="00F045AF" w:rsidRDefault="00D30C28">
      <w:pPr>
        <w:spacing w:after="0" w:line="240" w:lineRule="auto"/>
        <w:rPr>
          <w:rFonts w:ascii="Times New Roman" w:hAnsi="Times New Roman" w:cs="Times New Roman"/>
          <w:noProof/>
          <w:sz w:val="24"/>
          <w:szCs w:val="24"/>
          <w:lang w:val="fr-BE" w:eastAsia="en-GB"/>
        </w:rPr>
      </w:pPr>
      <w:r>
        <w:rPr>
          <w:rFonts w:ascii="Times New Roman" w:eastAsia="Times New Roman" w:hAnsi="Times New Roman" w:cs="Times New Roman"/>
          <w:noProof/>
          <w:sz w:val="24"/>
          <w:szCs w:val="20"/>
          <w:lang w:val="fr-BE"/>
        </w:rPr>
        <w:t>Le cadre financier pluriannuel pour 2021-2027, tel que proposé par la Co</w:t>
      </w:r>
      <w:r>
        <w:rPr>
          <w:rFonts w:ascii="Times New Roman" w:eastAsia="Times New Roman" w:hAnsi="Times New Roman" w:cs="Times New Roman"/>
          <w:noProof/>
          <w:sz w:val="24"/>
          <w:szCs w:val="20"/>
          <w:lang w:val="fr-BE"/>
        </w:rPr>
        <w:t>mmission européenne</w:t>
      </w:r>
      <w:r>
        <w:rPr>
          <w:rFonts w:ascii="Calibri" w:eastAsia="Calibri" w:hAnsi="Calibri" w:cs="Times New Roman"/>
          <w:noProof/>
          <w:sz w:val="24"/>
          <w:szCs w:val="20"/>
          <w:vertAlign w:val="superscript"/>
          <w:lang w:val="en-GB"/>
        </w:rPr>
        <w:footnoteReference w:id="35"/>
      </w:r>
      <w:r>
        <w:rPr>
          <w:rFonts w:ascii="Times New Roman" w:eastAsia="Times New Roman" w:hAnsi="Times New Roman" w:cs="Times New Roman"/>
          <w:noProof/>
          <w:sz w:val="24"/>
          <w:szCs w:val="20"/>
          <w:lang w:val="fr-BE"/>
        </w:rPr>
        <w:t>, continuera de soutenir les mesures d'amélioration de la qualité de l'air, notamment par l'objectif consistant à porter à 25 % la part des dépenses de l’UE contribuant à la réalisation des objectifs en matière de climat, et par le renf</w:t>
      </w:r>
      <w:r>
        <w:rPr>
          <w:rFonts w:ascii="Times New Roman" w:eastAsia="Times New Roman" w:hAnsi="Times New Roman" w:cs="Times New Roman"/>
          <w:noProof/>
          <w:sz w:val="24"/>
          <w:szCs w:val="20"/>
          <w:lang w:val="fr-BE"/>
        </w:rPr>
        <w:t>orcement du programme LIFE.</w:t>
      </w:r>
      <w:r>
        <w:rPr>
          <w:rFonts w:ascii="Times New Roman" w:hAnsi="Times New Roman" w:cs="Times New Roman"/>
          <w:noProof/>
          <w:sz w:val="24"/>
          <w:szCs w:val="24"/>
          <w:lang w:val="fr-BE" w:eastAsia="en-GB"/>
        </w:rPr>
        <w:t xml:space="preserve"> </w:t>
      </w:r>
    </w:p>
    <w:p w:rsidR="00F045AF" w:rsidRDefault="00D30C28">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szCs w:val="20"/>
        </w:rPr>
        <w:t>Résumé</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L’analyse actualisée montre que les coûts supplémentaires de mise en œuvre de la directive PEN sont nettement inférieurs aux prévisions, en partie à cause des changements apportés par les colégislateurs, mais aussi en ra</w:t>
      </w:r>
      <w:r>
        <w:rPr>
          <w:rFonts w:ascii="Times New Roman" w:hAnsi="Times New Roman"/>
          <w:noProof/>
          <w:sz w:val="24"/>
          <w:szCs w:val="20"/>
        </w:rPr>
        <w:t>ison de certaines dispositions législatives de l’UE adoptées depuis qui servent des objectifs liés à la qualité de l’air et de l’incidence positive attendue du futur train de mesures en matière de climat et d’énergie à l’horizon 2030, qui devrait être adop</w:t>
      </w:r>
      <w:r>
        <w:rPr>
          <w:rFonts w:ascii="Times New Roman" w:hAnsi="Times New Roman"/>
          <w:noProof/>
          <w:sz w:val="24"/>
          <w:szCs w:val="20"/>
        </w:rPr>
        <w:t>té prochainement.</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Toutefois, il est important d’éviter toute complaisance.  L’analyse suppose la mise en œuvre et l’application complètes de la législation que les États membres doivent garantir.  Elle repose également sur des hypothèses, en particulier su</w:t>
      </w:r>
      <w:r>
        <w:rPr>
          <w:rFonts w:ascii="Times New Roman" w:hAnsi="Times New Roman"/>
          <w:noProof/>
          <w:sz w:val="24"/>
          <w:szCs w:val="20"/>
        </w:rPr>
        <w:t>r le potentiel de contrôle des activités et de réduction de la pollution, qui, malgré le déploiement de nos meilleurs efforts, peuvent s’écarter de celles des États membres.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Ainsi, l’analyse donne une vue d'ensemble  au niveau de l’UE et doit être prise en</w:t>
      </w:r>
      <w:r>
        <w:rPr>
          <w:rFonts w:ascii="Times New Roman" w:hAnsi="Times New Roman"/>
          <w:noProof/>
          <w:sz w:val="24"/>
          <w:szCs w:val="20"/>
        </w:rPr>
        <w:t xml:space="preserve"> compte avec la prudence qui s’impose lors de l’élaboration de politiques nationales dans le cadre des programmes nationaux de réduction de la pollution atmosphérique.</w:t>
      </w:r>
    </w:p>
    <w:p w:rsidR="00F045AF" w:rsidRDefault="00D30C28">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Perspectives de réalisation d’objectifs à long terme</w:t>
      </w:r>
    </w:p>
    <w:p w:rsidR="00F045AF" w:rsidRDefault="00D30C28">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 xml:space="preserve">Valeurs de référence de l’OMS pour </w:t>
      </w:r>
      <w:r>
        <w:rPr>
          <w:rFonts w:ascii="Times New Roman" w:hAnsi="Times New Roman"/>
          <w:b/>
          <w:noProof/>
          <w:sz w:val="24"/>
          <w:szCs w:val="20"/>
        </w:rPr>
        <w:t>les émissions de PM</w:t>
      </w:r>
      <w:r>
        <w:rPr>
          <w:rFonts w:ascii="Times New Roman" w:hAnsi="Times New Roman"/>
          <w:b/>
          <w:noProof/>
          <w:sz w:val="24"/>
          <w:szCs w:val="20"/>
          <w:vertAlign w:val="subscript"/>
        </w:rPr>
        <w:t>2,5</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L’AEE estime qu’en 2015, 82 % de la population de l’UE a été exposée à des concentrations supérieures à la valeur de référence de l’OMS pour les émissions de PM</w:t>
      </w:r>
      <w:r>
        <w:rPr>
          <w:rFonts w:ascii="Times New Roman" w:hAnsi="Times New Roman"/>
          <w:noProof/>
          <w:sz w:val="24"/>
          <w:szCs w:val="20"/>
          <w:vertAlign w:val="subscript"/>
        </w:rPr>
        <w:t>2,5</w:t>
      </w:r>
      <w:r>
        <w:rPr>
          <w:rFonts w:ascii="Times New Roman" w:hAnsi="Times New Roman"/>
          <w:noProof/>
          <w:sz w:val="24"/>
          <w:szCs w:val="20"/>
        </w:rPr>
        <w:t xml:space="preserve"> de 10 µg/m³.  La mise en œuvre de la politique pour l’après 2014 amél</w:t>
      </w:r>
      <w:r>
        <w:rPr>
          <w:rFonts w:ascii="Times New Roman" w:hAnsi="Times New Roman"/>
          <w:noProof/>
          <w:sz w:val="24"/>
          <w:szCs w:val="20"/>
        </w:rPr>
        <w:t>iorera considérablement cet aspect.  Le graphique 4 montre l’évolution attendue entre 2005, année de référence de la directive PEN, et 2030, son année cible, dans l’hypothèse où ladite directive serait intégralement mise en œuvre.  La part de la population</w:t>
      </w:r>
      <w:r>
        <w:rPr>
          <w:rFonts w:ascii="Times New Roman" w:hAnsi="Times New Roman"/>
          <w:noProof/>
          <w:sz w:val="24"/>
          <w:szCs w:val="20"/>
        </w:rPr>
        <w:t xml:space="preserve"> exposée à des concentrations supérieures à la valeur de référence de l’OMS passerait de 88 % en 2005 à 13 % en 2030. Les dépassements seraient limités à certaines zones d’Europe, dont la plupart dépassant de 5 µg/m³ au maximum la valeur limite. D’ici 2030</w:t>
      </w:r>
      <w:r>
        <w:rPr>
          <w:rFonts w:ascii="Times New Roman" w:hAnsi="Times New Roman"/>
          <w:noProof/>
          <w:sz w:val="24"/>
          <w:szCs w:val="20"/>
        </w:rPr>
        <w:t>, la plupart des concentrations urbaines seraient donc inférieures ou égales aux valeurs de référence de l’OMS et, même si des problèmes persistaient à certains endroits, il serait possible d’y remédier par des mesures au niveau local qui ne sont pas intég</w:t>
      </w:r>
      <w:r>
        <w:rPr>
          <w:rFonts w:ascii="Times New Roman" w:hAnsi="Times New Roman"/>
          <w:noProof/>
          <w:sz w:val="24"/>
          <w:szCs w:val="20"/>
        </w:rPr>
        <w:t>rées dans l’analyse qui sous-tend le présent rapport.</w:t>
      </w:r>
    </w:p>
    <w:p w:rsidR="00F045AF" w:rsidRDefault="00D30C28">
      <w:pPr>
        <w:spacing w:before="120" w:after="120" w:line="240" w:lineRule="auto"/>
        <w:jc w:val="both"/>
        <w:rPr>
          <w:rFonts w:ascii="Times New Roman" w:eastAsia="Times New Roman" w:hAnsi="Times New Roman" w:cs="Times New Roman"/>
          <w:b/>
          <w:noProof/>
        </w:rPr>
      </w:pPr>
      <w:r>
        <w:rPr>
          <w:rFonts w:ascii="Times New Roman" w:hAnsi="Times New Roman"/>
          <w:b/>
          <w:noProof/>
        </w:rPr>
        <w:t>Graphique 4: Répartition de l’exposition de la population aux taux de PM</w:t>
      </w:r>
      <w:r>
        <w:rPr>
          <w:rFonts w:ascii="Times New Roman" w:hAnsi="Times New Roman"/>
          <w:b/>
          <w:noProof/>
          <w:vertAlign w:val="subscript"/>
        </w:rPr>
        <w:t xml:space="preserve">2,5 </w:t>
      </w:r>
      <w:r>
        <w:rPr>
          <w:rFonts w:ascii="Times New Roman" w:hAnsi="Times New Roman"/>
          <w:b/>
          <w:noProof/>
        </w:rPr>
        <w:t>dans l’UE en 2005 et en 2030, dans l’hypothèse où les exigences de la directive PEN en matière de réduction des émissions et l</w:t>
      </w:r>
      <w:r>
        <w:rPr>
          <w:rFonts w:ascii="Times New Roman" w:hAnsi="Times New Roman"/>
          <w:b/>
          <w:noProof/>
        </w:rPr>
        <w:t>’ensemble de la législation sur les sources des émissions seraient intégralement mises en œuvre.</w:t>
      </w:r>
    </w:p>
    <w:p w:rsidR="00F045AF" w:rsidRDefault="00D30C28">
      <w:pPr>
        <w:spacing w:before="120" w:after="120" w:line="240" w:lineRule="auto"/>
        <w:jc w:val="both"/>
        <w:rPr>
          <w:rFonts w:ascii="Times New Roman" w:eastAsia="Times New Roman" w:hAnsi="Times New Roman" w:cs="Times New Roman"/>
          <w:noProof/>
          <w:sz w:val="24"/>
          <w:szCs w:val="20"/>
        </w:rPr>
      </w:pPr>
      <w:r>
        <w:rPr>
          <w:noProof/>
          <w:lang w:val="en-GB" w:eastAsia="en-GB"/>
        </w:rPr>
        <w:drawing>
          <wp:inline distT="0" distB="0" distL="0" distR="0">
            <wp:extent cx="4730750" cy="2679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35566" cy="2682428"/>
                    </a:xfrm>
                    <a:prstGeom prst="rect">
                      <a:avLst/>
                    </a:prstGeom>
                    <a:noFill/>
                    <a:ln>
                      <a:noFill/>
                    </a:ln>
                  </pic:spPr>
                </pic:pic>
              </a:graphicData>
            </a:graphic>
          </wp:inline>
        </w:drawing>
      </w:r>
    </w:p>
    <w:p w:rsidR="00F045AF" w:rsidRDefault="00D30C28">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szCs w:val="20"/>
        </w:rPr>
        <w:t>Dépassement des charges critiques</w:t>
      </w:r>
    </w:p>
    <w:p w:rsidR="00F045AF" w:rsidRDefault="00D30C28">
      <w:pPr>
        <w:spacing w:before="120" w:after="120" w:line="240" w:lineRule="auto"/>
        <w:jc w:val="both"/>
        <w:rPr>
          <w:rFonts w:ascii="Times New Roman" w:hAnsi="Times New Roman"/>
          <w:noProof/>
          <w:sz w:val="24"/>
          <w:szCs w:val="20"/>
        </w:rPr>
      </w:pPr>
      <w:r>
        <w:rPr>
          <w:rFonts w:ascii="Times New Roman" w:hAnsi="Times New Roman"/>
          <w:noProof/>
          <w:sz w:val="24"/>
          <w:szCs w:val="20"/>
        </w:rPr>
        <w:t>L’eutrophisation des terres et des écosystèmes aquatiques représente l’incidence environnementale de la qualité de l’air la</w:t>
      </w:r>
      <w:r>
        <w:rPr>
          <w:rFonts w:ascii="Times New Roman" w:hAnsi="Times New Roman"/>
          <w:noProof/>
          <w:sz w:val="24"/>
          <w:szCs w:val="20"/>
        </w:rPr>
        <w:t xml:space="preserve"> plus importante.  Elle est définie en termes de dépassement des «charges critiques» pour les dépôts, à savoir les dépôts de pollution maximum que l’écosystème peut supporter sans conséquences écologiques négatives.  La figure 5 ci-après montre une diminut</w:t>
      </w:r>
      <w:r>
        <w:rPr>
          <w:rFonts w:ascii="Times New Roman" w:hAnsi="Times New Roman"/>
          <w:noProof/>
          <w:sz w:val="24"/>
          <w:szCs w:val="20"/>
        </w:rPr>
        <w:t>ion de 27 % de la superficie des écosystèmes touchés par l’eutrophisation entre 2005 et 2030 à la suite de la mise en œuvre de la directive PEN (voir tableau 1).</w:t>
      </w:r>
    </w:p>
    <w:p w:rsidR="00F045AF" w:rsidRDefault="00D30C28">
      <w:pPr>
        <w:rPr>
          <w:noProof/>
        </w:rPr>
      </w:pPr>
      <w:r>
        <w:rPr>
          <w:noProof/>
        </w:rPr>
        <w:br w:type="page"/>
      </w:r>
    </w:p>
    <w:p w:rsidR="00F045AF" w:rsidRDefault="00D30C28">
      <w:pPr>
        <w:rPr>
          <w:rFonts w:ascii="Times New Roman" w:eastAsia="Times New Roman" w:hAnsi="Times New Roman" w:cs="Times New Roman"/>
          <w:b/>
          <w:noProof/>
        </w:rPr>
      </w:pPr>
      <w:r>
        <w:rPr>
          <w:rFonts w:ascii="Times New Roman" w:hAnsi="Times New Roman"/>
          <w:b/>
          <w:noProof/>
        </w:rPr>
        <w:t xml:space="preserve">Figure 5: Pourcentage des superficies des écosystèmes présentant des dépôts d’azote </w:t>
      </w:r>
      <w:r>
        <w:rPr>
          <w:rFonts w:ascii="Times New Roman" w:hAnsi="Times New Roman"/>
          <w:b/>
          <w:noProof/>
        </w:rPr>
        <w:t>dépassant les charges critiques pour l’eutrophisation (à gauche, en 2005, par rapport à la mise en œuvre intégrale de la directive PEN en 2030, à droite, sur la base de l'ensemble de données de 2012 )</w:t>
      </w:r>
    </w:p>
    <w:p w:rsidR="00F045AF" w:rsidRDefault="00D30C28">
      <w:pPr>
        <w:spacing w:before="120" w:after="120" w:line="240" w:lineRule="auto"/>
        <w:jc w:val="both"/>
        <w:rPr>
          <w:rFonts w:ascii="Times New Roman" w:eastAsia="Times New Roman" w:hAnsi="Times New Roman" w:cs="Times New Roman"/>
          <w:noProof/>
          <w:sz w:val="24"/>
          <w:szCs w:val="20"/>
        </w:rPr>
      </w:pPr>
      <w:r>
        <w:rPr>
          <w:noProof/>
          <w:lang w:val="en-GB" w:eastAsia="en-GB"/>
        </w:rPr>
        <w:drawing>
          <wp:inline distT="0" distB="0" distL="0" distR="0">
            <wp:extent cx="5761355" cy="2420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1355" cy="242062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46"/>
        <w:gridCol w:w="1250"/>
      </w:tblGrid>
      <w:tr w:rsidR="00F045AF">
        <w:trPr>
          <w:trHeight w:val="267"/>
        </w:trPr>
        <w:tc>
          <w:tcPr>
            <w:tcW w:w="346" w:type="dxa"/>
            <w:shd w:val="clear" w:color="auto" w:fill="DBF1F9"/>
          </w:tcPr>
          <w:p w:rsidR="00F045AF" w:rsidRDefault="00F045AF">
            <w:pPr>
              <w:rPr>
                <w:noProof/>
                <w:color w:val="DBE5F1"/>
                <w:sz w:val="16"/>
                <w:szCs w:val="16"/>
              </w:rPr>
            </w:pPr>
          </w:p>
        </w:tc>
        <w:tc>
          <w:tcPr>
            <w:tcW w:w="1250" w:type="dxa"/>
          </w:tcPr>
          <w:p w:rsidR="00F045AF" w:rsidRDefault="00D30C28">
            <w:pPr>
              <w:rPr>
                <w:noProof/>
                <w:sz w:val="16"/>
                <w:szCs w:val="16"/>
              </w:rPr>
            </w:pPr>
            <w:r>
              <w:rPr>
                <w:noProof/>
                <w:sz w:val="16"/>
                <w:szCs w:val="16"/>
              </w:rPr>
              <w:t>0 .. 5 pour cent</w:t>
            </w:r>
          </w:p>
        </w:tc>
      </w:tr>
      <w:tr w:rsidR="00F045AF">
        <w:trPr>
          <w:trHeight w:val="252"/>
        </w:trPr>
        <w:tc>
          <w:tcPr>
            <w:tcW w:w="346" w:type="dxa"/>
            <w:shd w:val="clear" w:color="auto" w:fill="B8CCE4"/>
          </w:tcPr>
          <w:p w:rsidR="00F045AF" w:rsidRDefault="00F045AF">
            <w:pPr>
              <w:rPr>
                <w:noProof/>
                <w:sz w:val="16"/>
                <w:szCs w:val="16"/>
              </w:rPr>
            </w:pPr>
          </w:p>
        </w:tc>
        <w:tc>
          <w:tcPr>
            <w:tcW w:w="1250" w:type="dxa"/>
          </w:tcPr>
          <w:p w:rsidR="00F045AF" w:rsidRDefault="00D30C28">
            <w:pPr>
              <w:rPr>
                <w:noProof/>
                <w:sz w:val="16"/>
                <w:szCs w:val="16"/>
              </w:rPr>
            </w:pPr>
            <w:r>
              <w:rPr>
                <w:noProof/>
                <w:sz w:val="16"/>
                <w:szCs w:val="16"/>
              </w:rPr>
              <w:t>5 .. 10</w:t>
            </w:r>
          </w:p>
        </w:tc>
      </w:tr>
      <w:tr w:rsidR="00F045AF">
        <w:trPr>
          <w:trHeight w:val="267"/>
        </w:trPr>
        <w:tc>
          <w:tcPr>
            <w:tcW w:w="346" w:type="dxa"/>
            <w:shd w:val="clear" w:color="auto" w:fill="95B1D7"/>
          </w:tcPr>
          <w:p w:rsidR="00F045AF" w:rsidRDefault="00F045AF">
            <w:pPr>
              <w:rPr>
                <w:noProof/>
                <w:sz w:val="16"/>
                <w:szCs w:val="16"/>
              </w:rPr>
            </w:pPr>
          </w:p>
        </w:tc>
        <w:tc>
          <w:tcPr>
            <w:tcW w:w="1250" w:type="dxa"/>
          </w:tcPr>
          <w:p w:rsidR="00F045AF" w:rsidRDefault="00D30C28">
            <w:pPr>
              <w:rPr>
                <w:noProof/>
                <w:sz w:val="16"/>
                <w:szCs w:val="16"/>
              </w:rPr>
            </w:pPr>
            <w:r>
              <w:rPr>
                <w:noProof/>
                <w:sz w:val="16"/>
                <w:szCs w:val="16"/>
              </w:rPr>
              <w:t>10 .. 30</w:t>
            </w:r>
          </w:p>
        </w:tc>
      </w:tr>
      <w:tr w:rsidR="00F045AF">
        <w:trPr>
          <w:trHeight w:val="252"/>
        </w:trPr>
        <w:tc>
          <w:tcPr>
            <w:tcW w:w="346" w:type="dxa"/>
            <w:shd w:val="clear" w:color="auto" w:fill="366090"/>
          </w:tcPr>
          <w:p w:rsidR="00F045AF" w:rsidRDefault="00F045AF">
            <w:pPr>
              <w:rPr>
                <w:noProof/>
                <w:sz w:val="16"/>
                <w:szCs w:val="16"/>
              </w:rPr>
            </w:pPr>
          </w:p>
        </w:tc>
        <w:tc>
          <w:tcPr>
            <w:tcW w:w="1250" w:type="dxa"/>
          </w:tcPr>
          <w:p w:rsidR="00F045AF" w:rsidRDefault="00D30C28">
            <w:pPr>
              <w:rPr>
                <w:noProof/>
                <w:sz w:val="16"/>
                <w:szCs w:val="16"/>
              </w:rPr>
            </w:pPr>
            <w:r>
              <w:rPr>
                <w:noProof/>
                <w:sz w:val="16"/>
                <w:szCs w:val="16"/>
              </w:rPr>
              <w:t>30 .. 70</w:t>
            </w:r>
          </w:p>
        </w:tc>
      </w:tr>
      <w:tr w:rsidR="00F045AF">
        <w:trPr>
          <w:trHeight w:val="267"/>
        </w:trPr>
        <w:tc>
          <w:tcPr>
            <w:tcW w:w="346" w:type="dxa"/>
            <w:shd w:val="clear" w:color="auto" w:fill="254673"/>
          </w:tcPr>
          <w:p w:rsidR="00F045AF" w:rsidRDefault="00F045AF">
            <w:pPr>
              <w:rPr>
                <w:noProof/>
                <w:sz w:val="16"/>
                <w:szCs w:val="16"/>
              </w:rPr>
            </w:pPr>
          </w:p>
        </w:tc>
        <w:tc>
          <w:tcPr>
            <w:tcW w:w="1250" w:type="dxa"/>
          </w:tcPr>
          <w:p w:rsidR="00F045AF" w:rsidRDefault="00D30C28">
            <w:pPr>
              <w:rPr>
                <w:noProof/>
                <w:sz w:val="16"/>
                <w:szCs w:val="16"/>
              </w:rPr>
            </w:pPr>
            <w:r>
              <w:rPr>
                <w:noProof/>
                <w:sz w:val="16"/>
                <w:szCs w:val="16"/>
              </w:rPr>
              <w:t>70 .. 90</w:t>
            </w:r>
          </w:p>
        </w:tc>
      </w:tr>
      <w:tr w:rsidR="00F045AF">
        <w:trPr>
          <w:trHeight w:val="252"/>
        </w:trPr>
        <w:tc>
          <w:tcPr>
            <w:tcW w:w="346" w:type="dxa"/>
            <w:shd w:val="clear" w:color="auto" w:fill="17365D"/>
          </w:tcPr>
          <w:p w:rsidR="00F045AF" w:rsidRDefault="00F045AF">
            <w:pPr>
              <w:rPr>
                <w:noProof/>
                <w:sz w:val="16"/>
                <w:szCs w:val="16"/>
              </w:rPr>
            </w:pPr>
          </w:p>
        </w:tc>
        <w:tc>
          <w:tcPr>
            <w:tcW w:w="1250" w:type="dxa"/>
          </w:tcPr>
          <w:p w:rsidR="00F045AF" w:rsidRDefault="00D30C28">
            <w:pPr>
              <w:rPr>
                <w:noProof/>
                <w:sz w:val="16"/>
                <w:szCs w:val="16"/>
              </w:rPr>
            </w:pPr>
            <w:r>
              <w:rPr>
                <w:noProof/>
                <w:sz w:val="16"/>
                <w:szCs w:val="16"/>
              </w:rPr>
              <w:t>90 .. 95</w:t>
            </w:r>
          </w:p>
        </w:tc>
      </w:tr>
      <w:tr w:rsidR="00F045AF">
        <w:trPr>
          <w:trHeight w:val="267"/>
        </w:trPr>
        <w:tc>
          <w:tcPr>
            <w:tcW w:w="346" w:type="dxa"/>
            <w:shd w:val="clear" w:color="auto" w:fill="0F243E"/>
          </w:tcPr>
          <w:p w:rsidR="00F045AF" w:rsidRDefault="00F045AF">
            <w:pPr>
              <w:rPr>
                <w:noProof/>
                <w:sz w:val="16"/>
                <w:szCs w:val="16"/>
              </w:rPr>
            </w:pPr>
          </w:p>
        </w:tc>
        <w:tc>
          <w:tcPr>
            <w:tcW w:w="1250" w:type="dxa"/>
          </w:tcPr>
          <w:p w:rsidR="00F045AF" w:rsidRDefault="00D30C28">
            <w:pPr>
              <w:rPr>
                <w:noProof/>
                <w:sz w:val="16"/>
                <w:szCs w:val="16"/>
              </w:rPr>
            </w:pPr>
            <w:r>
              <w:rPr>
                <w:noProof/>
                <w:sz w:val="16"/>
                <w:szCs w:val="16"/>
              </w:rPr>
              <w:t>95 ..</w:t>
            </w:r>
          </w:p>
        </w:tc>
      </w:tr>
      <w:tr w:rsidR="00F045AF">
        <w:trPr>
          <w:trHeight w:val="267"/>
        </w:trPr>
        <w:tc>
          <w:tcPr>
            <w:tcW w:w="346" w:type="dxa"/>
            <w:shd w:val="clear" w:color="auto" w:fill="B4B4B4"/>
          </w:tcPr>
          <w:p w:rsidR="00F045AF" w:rsidRDefault="00F045AF">
            <w:pPr>
              <w:rPr>
                <w:noProof/>
                <w:sz w:val="16"/>
                <w:szCs w:val="16"/>
              </w:rPr>
            </w:pPr>
          </w:p>
        </w:tc>
        <w:tc>
          <w:tcPr>
            <w:tcW w:w="1250" w:type="dxa"/>
          </w:tcPr>
          <w:p w:rsidR="00F045AF" w:rsidRDefault="00D30C28">
            <w:pPr>
              <w:rPr>
                <w:noProof/>
                <w:sz w:val="16"/>
                <w:szCs w:val="16"/>
              </w:rPr>
            </w:pPr>
            <w:r>
              <w:rPr>
                <w:noProof/>
                <w:sz w:val="16"/>
                <w:szCs w:val="16"/>
              </w:rPr>
              <w:t>n2k manquant</w:t>
            </w:r>
          </w:p>
        </w:tc>
      </w:tr>
    </w:tbl>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L'excès de dépôts d’azote provient des dépôts de NO</w:t>
      </w:r>
      <w:r>
        <w:rPr>
          <w:rFonts w:ascii="Times New Roman" w:hAnsi="Times New Roman"/>
          <w:noProof/>
          <w:sz w:val="24"/>
          <w:szCs w:val="20"/>
          <w:vertAlign w:val="subscript"/>
        </w:rPr>
        <w:t>x</w:t>
      </w:r>
      <w:r>
        <w:rPr>
          <w:rFonts w:ascii="Times New Roman" w:hAnsi="Times New Roman"/>
          <w:noProof/>
          <w:sz w:val="24"/>
          <w:szCs w:val="20"/>
        </w:rPr>
        <w:t xml:space="preserve"> et de NH</w:t>
      </w:r>
      <w:r>
        <w:rPr>
          <w:rFonts w:ascii="Times New Roman" w:hAnsi="Times New Roman"/>
          <w:noProof/>
          <w:sz w:val="24"/>
          <w:szCs w:val="20"/>
          <w:vertAlign w:val="subscript"/>
        </w:rPr>
        <w:t>3</w:t>
      </w:r>
      <w:r>
        <w:rPr>
          <w:rFonts w:ascii="Times New Roman" w:hAnsi="Times New Roman"/>
          <w:noProof/>
          <w:sz w:val="24"/>
          <w:szCs w:val="20"/>
        </w:rPr>
        <w:t>. Le NH</w:t>
      </w:r>
      <w:r>
        <w:rPr>
          <w:rFonts w:ascii="Times New Roman" w:hAnsi="Times New Roman"/>
          <w:noProof/>
          <w:sz w:val="24"/>
          <w:szCs w:val="20"/>
          <w:vertAlign w:val="subscript"/>
        </w:rPr>
        <w:t>3</w:t>
      </w:r>
      <w:r>
        <w:rPr>
          <w:rFonts w:ascii="Times New Roman" w:hAnsi="Times New Roman"/>
          <w:noProof/>
          <w:sz w:val="24"/>
          <w:szCs w:val="20"/>
        </w:rPr>
        <w:t xml:space="preserve"> est le plus présent et son importance relative d’ici à 2030 devrait croître, car la directive PEN exige une réduction relativement minime par rapport aux NO</w:t>
      </w:r>
      <w:r>
        <w:rPr>
          <w:rFonts w:ascii="Times New Roman" w:hAnsi="Times New Roman"/>
          <w:noProof/>
          <w:sz w:val="24"/>
          <w:szCs w:val="20"/>
          <w:vertAlign w:val="subscript"/>
        </w:rPr>
        <w:t>x</w:t>
      </w:r>
      <w:r>
        <w:rPr>
          <w:rFonts w:ascii="Times New Roman" w:hAnsi="Times New Roman"/>
          <w:noProof/>
          <w:sz w:val="24"/>
          <w:szCs w:val="20"/>
        </w:rPr>
        <w:t xml:space="preserve"> (19 % contre 66 %).</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Parallèlement, il existe un potentiel de réduction supplémentaire pour le NH</w:t>
      </w:r>
      <w:r>
        <w:rPr>
          <w:rFonts w:ascii="Times New Roman" w:hAnsi="Times New Roman"/>
          <w:noProof/>
          <w:sz w:val="24"/>
          <w:szCs w:val="20"/>
          <w:vertAlign w:val="subscript"/>
        </w:rPr>
        <w:t>3</w:t>
      </w:r>
      <w:r>
        <w:rPr>
          <w:rFonts w:ascii="Times New Roman" w:hAnsi="Times New Roman"/>
          <w:noProof/>
          <w:sz w:val="24"/>
          <w:szCs w:val="20"/>
        </w:rPr>
        <w:t>. La mise en œuvre intégrale des mesures techniques actuellement disponibles réduirait l'excès de dépôts de plus de 75 %. Même si ces mesures ne correspondaient pas partout aux charges critiques, d’autres améliorations possibles n'ont pas été prises en com</w:t>
      </w:r>
      <w:r>
        <w:rPr>
          <w:rFonts w:ascii="Times New Roman" w:hAnsi="Times New Roman"/>
          <w:noProof/>
          <w:sz w:val="24"/>
          <w:szCs w:val="20"/>
        </w:rPr>
        <w:t xml:space="preserve">pte dans les modèles qui sous-tendent le présent rapport, en particulier la réduction des émissions des grandes sources ponctuelles proches d’écosystèmes sensibles, et les changements structurels dans la production qui découlent des préoccupations accrues </w:t>
      </w:r>
      <w:r>
        <w:rPr>
          <w:rFonts w:ascii="Times New Roman" w:hAnsi="Times New Roman"/>
          <w:noProof/>
          <w:sz w:val="24"/>
          <w:szCs w:val="20"/>
        </w:rPr>
        <w:t>des citoyens en faveur d’un régime sain.</w:t>
      </w:r>
    </w:p>
    <w:p w:rsidR="00F045AF" w:rsidRDefault="00D30C28">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Polluants à courte durée de vie ayant un effet sur le climat</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 noir de carbone, le méthane et l’ozone constituent des sources d'inquiétude à la fois en ce qui concerne la qualité de l’air et le climat.</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La </w:t>
      </w:r>
      <w:r>
        <w:rPr>
          <w:rFonts w:ascii="Times New Roman" w:hAnsi="Times New Roman"/>
          <w:noProof/>
          <w:sz w:val="24"/>
          <w:szCs w:val="20"/>
        </w:rPr>
        <w:t>directive PEN exige des États membres, lorsqu'ils s'attellent à honorer leurs engagements en matière de réduction des émissions de PM</w:t>
      </w:r>
      <w:r>
        <w:rPr>
          <w:rFonts w:ascii="Times New Roman" w:hAnsi="Times New Roman"/>
          <w:noProof/>
          <w:sz w:val="24"/>
          <w:szCs w:val="20"/>
          <w:vertAlign w:val="subscript"/>
        </w:rPr>
        <w:t>2,5</w:t>
      </w:r>
      <w:r>
        <w:rPr>
          <w:rFonts w:ascii="Times New Roman" w:hAnsi="Times New Roman"/>
          <w:noProof/>
          <w:sz w:val="24"/>
          <w:szCs w:val="20"/>
        </w:rPr>
        <w:t xml:space="preserve"> , qu’ils donnent la priorité aux mesures qui réduisent également le noir de carbone.  Les mesures visant à réduire les </w:t>
      </w:r>
      <w:r>
        <w:rPr>
          <w:rFonts w:ascii="Times New Roman" w:hAnsi="Times New Roman"/>
          <w:noProof/>
          <w:sz w:val="24"/>
          <w:szCs w:val="20"/>
        </w:rPr>
        <w:t>émissions de PM</w:t>
      </w:r>
      <w:r>
        <w:rPr>
          <w:rFonts w:ascii="Times New Roman" w:hAnsi="Times New Roman"/>
          <w:noProof/>
          <w:sz w:val="24"/>
          <w:szCs w:val="20"/>
          <w:vertAlign w:val="subscript"/>
        </w:rPr>
        <w:t>2,5</w:t>
      </w:r>
      <w:r>
        <w:rPr>
          <w:rFonts w:ascii="Times New Roman" w:hAnsi="Times New Roman"/>
          <w:noProof/>
          <w:sz w:val="24"/>
          <w:szCs w:val="20"/>
        </w:rPr>
        <w:t xml:space="preserve"> (par exemple, combustion domestique de combustibles solides, pollution sous forme de particules issues des véhicules à moteur diesel, incinération sur place de déchets agricoles et production d’énergie) permettront également d’atteindre </w:t>
      </w:r>
      <w:r>
        <w:rPr>
          <w:rFonts w:ascii="Times New Roman" w:hAnsi="Times New Roman"/>
          <w:noProof/>
          <w:sz w:val="24"/>
          <w:szCs w:val="20"/>
        </w:rPr>
        <w:t>des réductions de noir de carbone de 72 % dans toute l’UE d’ici à 2030.</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Le méthane et l’ozone sont étroitement liés, étant donné que le méthane contribue en grande partie aux concentrations de fond d’ozone.  En raison de la longue durée de vie du méthane, </w:t>
      </w:r>
      <w:r>
        <w:rPr>
          <w:rFonts w:ascii="Times New Roman" w:hAnsi="Times New Roman"/>
          <w:noProof/>
          <w:sz w:val="24"/>
          <w:szCs w:val="20"/>
        </w:rPr>
        <w:t>celui-ci est transporté sur de longues distances dans l’hémisphère nord, les émissions aux États-Unis, en Chine et en Inde affectant les concentrations de l’UE et inversement. Le Centre commun de recherche de la Commission présentera dans le courant de l'a</w:t>
      </w:r>
      <w:r>
        <w:rPr>
          <w:rFonts w:ascii="Times New Roman" w:hAnsi="Times New Roman"/>
          <w:noProof/>
          <w:sz w:val="24"/>
          <w:szCs w:val="20"/>
        </w:rPr>
        <w:t>nnée un rapport technique sur les émissions de méthane et sur leur rôle dans la formation d’ozone.  Sur la base de ces travaux, la Commission évaluera, en 2019, le potentiel de réductions dans l’ensemble de l’hémisphère nord et leurs incidences sur les con</w:t>
      </w:r>
      <w:r>
        <w:rPr>
          <w:rFonts w:ascii="Times New Roman" w:hAnsi="Times New Roman"/>
          <w:noProof/>
          <w:sz w:val="24"/>
          <w:szCs w:val="20"/>
        </w:rPr>
        <w:t>centrations, en vue de fixer des objectifs appropriés de réduction des émissions de méthane dans le contexte d’une future approche hémisphérique, en coopération avec la Convention de la CEE-ONU sur la pollution atmosphérique transfrontière à longue distanc</w:t>
      </w:r>
      <w:r>
        <w:rPr>
          <w:rFonts w:ascii="Times New Roman" w:hAnsi="Times New Roman"/>
          <w:noProof/>
          <w:sz w:val="24"/>
          <w:szCs w:val="20"/>
        </w:rPr>
        <w:t>e, la Coalition pour le climat et l’air pur et l’Initiative mondiale pour le méthane, selon les besoins.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concentrations d’ozone seraient exacerbées par les augmentations de température provoquées par le changement climatique et cet élément doit être pr</w:t>
      </w:r>
      <w:r>
        <w:rPr>
          <w:rFonts w:ascii="Times New Roman" w:hAnsi="Times New Roman"/>
          <w:noProof/>
          <w:sz w:val="24"/>
          <w:szCs w:val="20"/>
        </w:rPr>
        <w:t>is en considération lors de l’évaluation et de l’atténuation de la pollution atmosphérique sur le plus long terme.</w:t>
      </w:r>
    </w:p>
    <w:p w:rsidR="00F045AF" w:rsidRDefault="00D30C28">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bookmarkStart w:id="9" w:name="_Toc359596090"/>
      <w:r>
        <w:rPr>
          <w:rFonts w:ascii="Times New Roman" w:hAnsi="Times New Roman"/>
          <w:b/>
          <w:smallCaps/>
          <w:noProof/>
          <w:sz w:val="24"/>
          <w:szCs w:val="20"/>
        </w:rPr>
        <w:t>La dimension internationale</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L’adoption de la directive PEN a permis à l’UE de ratifier en août 2017 la révision de 2012 du protocole de </w:t>
      </w:r>
      <w:r>
        <w:rPr>
          <w:rFonts w:ascii="Times New Roman" w:hAnsi="Times New Roman"/>
          <w:noProof/>
          <w:sz w:val="24"/>
          <w:szCs w:val="20"/>
        </w:rPr>
        <w:t>Göteborg.  La ratification par les États membres peut permettre l’entrée en vigueur de ce protocole. Huit d’entre eux l’ont déjà ratifié</w:t>
      </w:r>
      <w:r>
        <w:rPr>
          <w:rFonts w:ascii="Times New Roman" w:eastAsia="Times New Roman" w:hAnsi="Times New Roman" w:cs="Times New Roman"/>
          <w:noProof/>
          <w:sz w:val="24"/>
          <w:szCs w:val="20"/>
          <w:vertAlign w:val="superscript"/>
          <w:lang w:val="en-GB" w:eastAsia="en-GB"/>
        </w:rPr>
        <w:footnoteReference w:id="36"/>
      </w:r>
      <w:r>
        <w:rPr>
          <w:rFonts w:ascii="Times New Roman" w:hAnsi="Times New Roman"/>
          <w:noProof/>
          <w:sz w:val="24"/>
          <w:szCs w:val="20"/>
        </w:rPr>
        <w:t xml:space="preserve"> et la Commission encourage tous les autres États membres à suivre leur exemple dès que possible.</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L’objectif principal </w:t>
      </w:r>
      <w:r>
        <w:rPr>
          <w:rFonts w:ascii="Times New Roman" w:hAnsi="Times New Roman"/>
          <w:noProof/>
          <w:sz w:val="24"/>
          <w:szCs w:val="20"/>
        </w:rPr>
        <w:t>de l’UE est toujours de favoriser une ratification plus large du protocole par des pays tiers, en particulier les États d’Europe orientale, du Caucase et d’Asie centrale. Des dispositions flexibles en faveur de ces États ont été intégrées dans la version r</w:t>
      </w:r>
      <w:r>
        <w:rPr>
          <w:rFonts w:ascii="Times New Roman" w:hAnsi="Times New Roman"/>
          <w:noProof/>
          <w:sz w:val="24"/>
          <w:szCs w:val="20"/>
        </w:rPr>
        <w:t>évisée du protocole afin d’encourager la ratification, mais ces dispositions ne peuvent être utilisées que si le protocole entre en vigueur avant 2020, ce qui constitue un argument supplémentaire en faveur d'une ratification rapide par les États membres.</w:t>
      </w: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w:t>
      </w:r>
      <w:r>
        <w:rPr>
          <w:rFonts w:ascii="Times New Roman" w:hAnsi="Times New Roman"/>
          <w:noProof/>
          <w:sz w:val="24"/>
          <w:szCs w:val="20"/>
        </w:rPr>
        <w:t>a Commission continuera d'élaborer ses propres mesures en vue d’aider les pays voisins en ce qui concerne la politique en matière de qualité de l’air, notamment au titre de l’instrument d’aide de préadhésion (IAP) et de l’instrument européen de voisinage (</w:t>
      </w:r>
      <w:r>
        <w:rPr>
          <w:rFonts w:ascii="Times New Roman" w:hAnsi="Times New Roman"/>
          <w:noProof/>
          <w:sz w:val="24"/>
          <w:szCs w:val="20"/>
        </w:rPr>
        <w:t>IEV). Le partage d’expériences au-delà de l’UE et la CEE-ONU constitue également une priorité, et l’UE a milité avec succès en faveur d’une coopération régionale et interrégionale plus poussée à l’occasion de la 3</w:t>
      </w:r>
      <w:r>
        <w:rPr>
          <w:rFonts w:ascii="Times New Roman" w:hAnsi="Times New Roman"/>
          <w:noProof/>
          <w:sz w:val="24"/>
          <w:szCs w:val="20"/>
          <w:vertAlign w:val="superscript"/>
        </w:rPr>
        <w:t>e</w:t>
      </w:r>
      <w:r>
        <w:rPr>
          <w:rFonts w:ascii="Times New Roman" w:hAnsi="Times New Roman"/>
          <w:noProof/>
          <w:sz w:val="24"/>
          <w:szCs w:val="20"/>
        </w:rPr>
        <w:t xml:space="preserve"> Assemblée des Nations unies sur l’environ</w:t>
      </w:r>
      <w:r>
        <w:rPr>
          <w:rFonts w:ascii="Times New Roman" w:hAnsi="Times New Roman"/>
          <w:noProof/>
          <w:sz w:val="24"/>
          <w:szCs w:val="20"/>
        </w:rPr>
        <w:t>nement (décembre 2017) et continuera de le faire de manière bilatérale. Grâce au Programme de surveillance et d’évaluation de l’Arctique (AMAP), la Commission finance également l’évaluation du potentiel de réduction des émissions de noir de carbone qui tou</w:t>
      </w:r>
      <w:r>
        <w:rPr>
          <w:rFonts w:ascii="Times New Roman" w:hAnsi="Times New Roman"/>
          <w:noProof/>
          <w:sz w:val="24"/>
          <w:szCs w:val="20"/>
        </w:rPr>
        <w:t>chent cette région.</w:t>
      </w:r>
    </w:p>
    <w:p w:rsidR="00F045AF" w:rsidRDefault="00D30C28">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szCs w:val="20"/>
        </w:rPr>
        <w:t>Conclusion</w:t>
      </w:r>
      <w:bookmarkEnd w:id="9"/>
      <w:r>
        <w:rPr>
          <w:rFonts w:ascii="Times New Roman" w:hAnsi="Times New Roman"/>
          <w:b/>
          <w:smallCaps/>
          <w:noProof/>
          <w:sz w:val="24"/>
          <w:szCs w:val="20"/>
        </w:rPr>
        <w:t xml:space="preserve">s </w:t>
      </w:r>
    </w:p>
    <w:p w:rsidR="00F045AF" w:rsidRDefault="00D30C28">
      <w:pPr>
        <w:pStyle w:val="ListParagraph"/>
        <w:numPr>
          <w:ilvl w:val="0"/>
          <w:numId w:val="4"/>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Il est encourageant de noter que </w:t>
      </w:r>
      <w:r>
        <w:rPr>
          <w:rFonts w:ascii="Times New Roman" w:hAnsi="Times New Roman"/>
          <w:b/>
          <w:noProof/>
          <w:sz w:val="24"/>
          <w:szCs w:val="20"/>
        </w:rPr>
        <w:t>l’ensemble des mesures adoptées par les colégislateurs depuis l’adoption du programme «Air pur pour l’Europe» de 2013</w:t>
      </w:r>
      <w:r>
        <w:rPr>
          <w:rFonts w:ascii="Times New Roman" w:hAnsi="Times New Roman"/>
          <w:noProof/>
          <w:sz w:val="24"/>
          <w:szCs w:val="20"/>
        </w:rPr>
        <w:t xml:space="preserve"> (c’est-à-dire, non seulement la directive PEN, mais aussi la DICM, la ve</w:t>
      </w:r>
      <w:r>
        <w:rPr>
          <w:rFonts w:ascii="Times New Roman" w:hAnsi="Times New Roman"/>
          <w:noProof/>
          <w:sz w:val="24"/>
          <w:szCs w:val="20"/>
        </w:rPr>
        <w:t xml:space="preserve">rsion révisée du règlement relatif aux engins mobiles non routiers, ainsi que les mesures d’application de la DEI et de la directive «Ecoconception») </w:t>
      </w:r>
      <w:r>
        <w:rPr>
          <w:rFonts w:ascii="Times New Roman" w:hAnsi="Times New Roman"/>
          <w:b/>
          <w:noProof/>
          <w:sz w:val="24"/>
          <w:szCs w:val="20"/>
        </w:rPr>
        <w:t>devraient, d’ici 2030, dépasser largement l’objectif de réduction des incidences sur la santé de 52 % étab</w:t>
      </w:r>
      <w:r>
        <w:rPr>
          <w:rFonts w:ascii="Times New Roman" w:hAnsi="Times New Roman"/>
          <w:b/>
          <w:noProof/>
          <w:sz w:val="24"/>
          <w:szCs w:val="20"/>
        </w:rPr>
        <w:t>li dans le programme, et parvenir à des concentrations de PM</w:t>
      </w:r>
      <w:r>
        <w:rPr>
          <w:rFonts w:ascii="Times New Roman" w:hAnsi="Times New Roman"/>
          <w:b/>
          <w:noProof/>
          <w:sz w:val="24"/>
          <w:szCs w:val="20"/>
          <w:vertAlign w:val="subscript"/>
        </w:rPr>
        <w:t>2,5</w:t>
      </w:r>
      <w:r>
        <w:rPr>
          <w:rFonts w:ascii="Times New Roman" w:hAnsi="Times New Roman"/>
          <w:b/>
          <w:noProof/>
          <w:sz w:val="24"/>
          <w:szCs w:val="20"/>
        </w:rPr>
        <w:t xml:space="preserve"> inférieures à la valeur de référence de l’OMS dans la majeure partie de l’UE</w:t>
      </w:r>
      <w:r>
        <w:rPr>
          <w:rFonts w:ascii="Times New Roman" w:hAnsi="Times New Roman"/>
          <w:noProof/>
          <w:sz w:val="24"/>
          <w:szCs w:val="20"/>
        </w:rPr>
        <w:t>.</w:t>
      </w:r>
    </w:p>
    <w:p w:rsidR="00F045AF" w:rsidRDefault="00F045AF">
      <w:pPr>
        <w:pStyle w:val="ListParagraph"/>
        <w:spacing w:before="120" w:after="120" w:line="240" w:lineRule="auto"/>
        <w:jc w:val="both"/>
        <w:rPr>
          <w:rFonts w:ascii="Times New Roman" w:eastAsia="Times New Roman" w:hAnsi="Times New Roman" w:cs="Times New Roman"/>
          <w:noProof/>
          <w:sz w:val="24"/>
          <w:szCs w:val="20"/>
          <w:lang w:val="fr-BE" w:eastAsia="en-GB"/>
        </w:rPr>
      </w:pPr>
    </w:p>
    <w:p w:rsidR="00F045AF" w:rsidRDefault="00D30C28">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Il existe toutefois un </w:t>
      </w:r>
      <w:r>
        <w:rPr>
          <w:rFonts w:ascii="Times New Roman" w:hAnsi="Times New Roman"/>
          <w:b/>
          <w:noProof/>
          <w:sz w:val="24"/>
          <w:szCs w:val="20"/>
        </w:rPr>
        <w:t xml:space="preserve">besoin urgent à court terme de mesures décisives pour réaliser les objectifs des </w:t>
      </w:r>
      <w:r>
        <w:rPr>
          <w:rFonts w:ascii="Times New Roman" w:hAnsi="Times New Roman"/>
          <w:b/>
          <w:noProof/>
          <w:sz w:val="24"/>
          <w:szCs w:val="20"/>
        </w:rPr>
        <w:t>directives concernant la qualité de l’air ambiant</w:t>
      </w:r>
      <w:r>
        <w:rPr>
          <w:rFonts w:ascii="Times New Roman" w:hAnsi="Times New Roman"/>
          <w:noProof/>
          <w:sz w:val="24"/>
          <w:szCs w:val="20"/>
        </w:rPr>
        <w:t>, à tous les niveaux de gouvernance (national, régional, local) et avec la participation pleine et entière des acteurs du marché, comme le souligne la récente communication intitulée «Une Europe qui protège:</w:t>
      </w:r>
      <w:r>
        <w:rPr>
          <w:rFonts w:ascii="Times New Roman" w:hAnsi="Times New Roman"/>
          <w:noProof/>
          <w:sz w:val="24"/>
          <w:szCs w:val="20"/>
        </w:rPr>
        <w:t xml:space="preserve"> de l'air pur pour tous»</w:t>
      </w:r>
      <w:r>
        <w:rPr>
          <w:rFonts w:ascii="Times New Roman" w:hAnsi="Times New Roman"/>
          <w:noProof/>
          <w:sz w:val="24"/>
          <w:szCs w:val="20"/>
          <w:vertAlign w:val="superscript"/>
          <w:lang w:val="en-GB"/>
        </w:rPr>
        <w:footnoteReference w:id="37"/>
      </w:r>
      <w:r>
        <w:rPr>
          <w:rFonts w:ascii="Times New Roman" w:hAnsi="Times New Roman"/>
          <w:noProof/>
          <w:sz w:val="24"/>
          <w:szCs w:val="20"/>
        </w:rPr>
        <w:t xml:space="preserve">. Même sur le long terme, </w:t>
      </w:r>
      <w:r>
        <w:rPr>
          <w:rFonts w:ascii="Times New Roman" w:hAnsi="Times New Roman"/>
          <w:b/>
          <w:noProof/>
          <w:sz w:val="24"/>
          <w:szCs w:val="20"/>
        </w:rPr>
        <w:t>il sera nécessaire de prendre des mesures complémentaires à tous ces niveaux pour garantir que les objectifs à long terme de l’UE soient atteints dans toute l'Europe</w:t>
      </w:r>
      <w:r>
        <w:rPr>
          <w:rFonts w:ascii="Times New Roman" w:hAnsi="Times New Roman"/>
          <w:noProof/>
          <w:sz w:val="24"/>
          <w:szCs w:val="20"/>
        </w:rPr>
        <w:t>.</w:t>
      </w:r>
    </w:p>
    <w:p w:rsidR="00F045AF" w:rsidRDefault="00F045AF">
      <w:pPr>
        <w:pStyle w:val="ListParagraph"/>
        <w:rPr>
          <w:rFonts w:ascii="Times New Roman" w:eastAsia="Times New Roman" w:hAnsi="Times New Roman" w:cs="Times New Roman"/>
          <w:noProof/>
          <w:sz w:val="24"/>
          <w:szCs w:val="20"/>
          <w:lang w:val="fr-BE" w:eastAsia="en-GB"/>
        </w:rPr>
      </w:pPr>
    </w:p>
    <w:p w:rsidR="00F045AF" w:rsidRDefault="00D30C28">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En 2030, les incidences dépendront de</w:t>
      </w:r>
      <w:r>
        <w:rPr>
          <w:rFonts w:ascii="Times New Roman" w:hAnsi="Times New Roman"/>
          <w:noProof/>
          <w:sz w:val="24"/>
          <w:szCs w:val="20"/>
        </w:rPr>
        <w:t xml:space="preserve"> </w:t>
      </w:r>
      <w:r>
        <w:rPr>
          <w:rFonts w:ascii="Times New Roman" w:hAnsi="Times New Roman"/>
          <w:b/>
          <w:noProof/>
          <w:sz w:val="24"/>
          <w:szCs w:val="20"/>
        </w:rPr>
        <w:t>la mise en œuvre intégrale de toutes les mesures par les États membres et, en particulier, de solides programmes nationaux de réduction de la pollution atmosphérique afin de respecter les engagements en matière de réduction des émissions de la directive P</w:t>
      </w:r>
      <w:r>
        <w:rPr>
          <w:rFonts w:ascii="Times New Roman" w:hAnsi="Times New Roman"/>
          <w:b/>
          <w:noProof/>
          <w:sz w:val="24"/>
          <w:szCs w:val="20"/>
        </w:rPr>
        <w:t>EN</w:t>
      </w:r>
      <w:r>
        <w:rPr>
          <w:rFonts w:ascii="Times New Roman" w:hAnsi="Times New Roman"/>
          <w:noProof/>
          <w:sz w:val="24"/>
          <w:szCs w:val="20"/>
        </w:rPr>
        <w:t>. Sont nécessaires à cet effet une coordination efficace de ces programmes et la mise en œuvre d’autres politiques, notamment les mesures en matière de climat/d’énergie de l’union de l’énergie, la politique en matière de transport routier et la réforme à</w:t>
      </w:r>
      <w:r>
        <w:rPr>
          <w:rFonts w:ascii="Times New Roman" w:hAnsi="Times New Roman"/>
          <w:noProof/>
          <w:sz w:val="24"/>
          <w:szCs w:val="20"/>
        </w:rPr>
        <w:t xml:space="preserve"> venir de la politique agricole commune.  </w:t>
      </w:r>
      <w:r>
        <w:rPr>
          <w:rFonts w:ascii="Times New Roman" w:hAnsi="Times New Roman"/>
          <w:b/>
          <w:noProof/>
          <w:sz w:val="24"/>
          <w:szCs w:val="20"/>
        </w:rPr>
        <w:t>L’adoption du soutien financier substantiel de l’UE à disposition facilitera aussi grandement la mise en œuvre</w:t>
      </w:r>
      <w:r>
        <w:rPr>
          <w:rFonts w:ascii="Times New Roman" w:hAnsi="Times New Roman"/>
          <w:noProof/>
          <w:sz w:val="24"/>
          <w:szCs w:val="20"/>
        </w:rPr>
        <w:t>.</w:t>
      </w:r>
    </w:p>
    <w:p w:rsidR="00F045AF" w:rsidRDefault="00F045AF">
      <w:pPr>
        <w:pStyle w:val="ListParagraph"/>
        <w:rPr>
          <w:rFonts w:ascii="Times New Roman" w:eastAsia="Times New Roman" w:hAnsi="Times New Roman" w:cs="Times New Roman"/>
          <w:noProof/>
          <w:sz w:val="24"/>
          <w:szCs w:val="20"/>
          <w:lang w:val="fr-BE" w:eastAsia="en-GB"/>
        </w:rPr>
      </w:pPr>
    </w:p>
    <w:p w:rsidR="00F045AF" w:rsidRDefault="00D30C28">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Si, pour la plupart des secteurs et des polluants, les dispositions législatives relatives aux source</w:t>
      </w:r>
      <w:r>
        <w:rPr>
          <w:rFonts w:ascii="Times New Roman" w:hAnsi="Times New Roman"/>
          <w:noProof/>
          <w:sz w:val="24"/>
          <w:szCs w:val="20"/>
        </w:rPr>
        <w:t xml:space="preserve">s d'émissions soutiennent considérablement la mise en œuvre de la directive PEN, </w:t>
      </w:r>
      <w:r>
        <w:rPr>
          <w:rFonts w:ascii="Times New Roman" w:hAnsi="Times New Roman"/>
          <w:b/>
          <w:noProof/>
          <w:sz w:val="24"/>
          <w:szCs w:val="20"/>
        </w:rPr>
        <w:t>les émissions de NH</w:t>
      </w:r>
      <w:r>
        <w:rPr>
          <w:rFonts w:ascii="Times New Roman" w:hAnsi="Times New Roman"/>
          <w:b/>
          <w:noProof/>
          <w:sz w:val="24"/>
          <w:szCs w:val="20"/>
          <w:vertAlign w:val="subscript"/>
        </w:rPr>
        <w:t>3</w:t>
      </w:r>
      <w:r>
        <w:rPr>
          <w:rFonts w:ascii="Times New Roman" w:hAnsi="Times New Roman"/>
          <w:b/>
          <w:noProof/>
          <w:sz w:val="24"/>
          <w:szCs w:val="20"/>
        </w:rPr>
        <w:t xml:space="preserve"> dans l’agriculture représentent une exception</w:t>
      </w:r>
      <w:r>
        <w:rPr>
          <w:rFonts w:ascii="Times New Roman" w:hAnsi="Times New Roman"/>
          <w:noProof/>
          <w:sz w:val="24"/>
          <w:szCs w:val="20"/>
        </w:rPr>
        <w:t xml:space="preserve">.  </w:t>
      </w:r>
      <w:r>
        <w:rPr>
          <w:rFonts w:ascii="Times New Roman" w:hAnsi="Times New Roman"/>
          <w:b/>
          <w:noProof/>
          <w:sz w:val="24"/>
          <w:szCs w:val="20"/>
        </w:rPr>
        <w:t xml:space="preserve">Il sera nécessaire de bénéficier de la participation effective du secteur pour être en mesure d’atteindre </w:t>
      </w:r>
      <w:r>
        <w:rPr>
          <w:rFonts w:ascii="Times New Roman" w:hAnsi="Times New Roman"/>
          <w:b/>
          <w:noProof/>
          <w:sz w:val="24"/>
          <w:szCs w:val="20"/>
        </w:rPr>
        <w:t>les réductions demandées</w:t>
      </w:r>
      <w:r>
        <w:rPr>
          <w:rFonts w:ascii="Times New Roman" w:hAnsi="Times New Roman"/>
          <w:noProof/>
          <w:sz w:val="24"/>
          <w:szCs w:val="20"/>
        </w:rPr>
        <w:t>.  Même dans ce cas, l’analyse actuelle montre que l’UE sera encore loin de son objectif à long terme de non-dépassement des charges critiques d’eutrophisation, mais il existe un potentiel de réduction supplémentaire important qui p</w:t>
      </w:r>
      <w:r>
        <w:rPr>
          <w:rFonts w:ascii="Times New Roman" w:hAnsi="Times New Roman"/>
          <w:noProof/>
          <w:sz w:val="24"/>
          <w:szCs w:val="20"/>
        </w:rPr>
        <w:t xml:space="preserve">ourrait aider l’UE à s’en rapprocher significativement. </w:t>
      </w:r>
      <w:r>
        <w:rPr>
          <w:rFonts w:ascii="Times New Roman" w:hAnsi="Times New Roman"/>
          <w:b/>
          <w:noProof/>
          <w:sz w:val="24"/>
          <w:szCs w:val="20"/>
        </w:rPr>
        <w:t>La Commission continuera de soutenir les efforts nationaux à cet égard, y compris en maximisant l’utilisation du financement de la politique agricole commune et en promouvant les synergies avec la mis</w:t>
      </w:r>
      <w:r>
        <w:rPr>
          <w:rFonts w:ascii="Times New Roman" w:hAnsi="Times New Roman"/>
          <w:b/>
          <w:noProof/>
          <w:sz w:val="24"/>
          <w:szCs w:val="20"/>
        </w:rPr>
        <w:t xml:space="preserve">e en œuvre de la législation de l’UE en la matière, comme la directive 91/676/CEE concernant les nitrates.    </w:t>
      </w:r>
    </w:p>
    <w:p w:rsidR="00F045AF" w:rsidRDefault="00F045AF">
      <w:pPr>
        <w:pStyle w:val="ListParagraph"/>
        <w:spacing w:before="120" w:after="120" w:line="240" w:lineRule="auto"/>
        <w:jc w:val="both"/>
        <w:rPr>
          <w:rFonts w:ascii="Times New Roman" w:eastAsia="Times New Roman" w:hAnsi="Times New Roman" w:cs="Times New Roman"/>
          <w:noProof/>
          <w:sz w:val="24"/>
          <w:szCs w:val="20"/>
          <w:lang w:val="fr-BE" w:eastAsia="en-GB"/>
        </w:rPr>
      </w:pPr>
    </w:p>
    <w:p w:rsidR="00F045AF" w:rsidRDefault="00D30C28">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 xml:space="preserve">Comme l’a déclaré la Commission lors de l’adoption de la nouvelle directive PEN, </w:t>
      </w:r>
      <w:r>
        <w:rPr>
          <w:rFonts w:ascii="Times New Roman" w:hAnsi="Times New Roman"/>
          <w:b/>
          <w:noProof/>
          <w:sz w:val="24"/>
          <w:szCs w:val="20"/>
        </w:rPr>
        <w:t>les émissions de méthane devraient aussi être régulièrement exa</w:t>
      </w:r>
      <w:r>
        <w:rPr>
          <w:rFonts w:ascii="Times New Roman" w:hAnsi="Times New Roman"/>
          <w:b/>
          <w:noProof/>
          <w:sz w:val="24"/>
          <w:szCs w:val="20"/>
        </w:rPr>
        <w:t>minées en ce qui concerne leur incidence sur les concentrations d’ozone dans l’UE et afin de promouvoir la réduction des taux de méthane à l’échelle internationale</w:t>
      </w:r>
      <w:r>
        <w:rPr>
          <w:rFonts w:ascii="Times New Roman" w:hAnsi="Times New Roman"/>
          <w:noProof/>
          <w:sz w:val="24"/>
          <w:szCs w:val="20"/>
        </w:rPr>
        <w:t xml:space="preserve">. Sur la base des émissions nationales communiquées, </w:t>
      </w:r>
      <w:r>
        <w:rPr>
          <w:rFonts w:ascii="Times New Roman" w:hAnsi="Times New Roman"/>
          <w:b/>
          <w:noProof/>
          <w:sz w:val="24"/>
          <w:szCs w:val="20"/>
        </w:rPr>
        <w:t>la Commission évaluera plus en profondeu</w:t>
      </w:r>
      <w:r>
        <w:rPr>
          <w:rFonts w:ascii="Times New Roman" w:hAnsi="Times New Roman"/>
          <w:b/>
          <w:noProof/>
          <w:sz w:val="24"/>
          <w:szCs w:val="20"/>
        </w:rPr>
        <w:t>r les incidences des émissions de méthane sur la réalisation des objectifs de la politique en matière de qualité de l’air. Elle tiendra compte des mesures visant à réduire ces émissions et, le cas échéant, soumettra une proposition législative, sur la base</w:t>
      </w:r>
      <w:r>
        <w:rPr>
          <w:rFonts w:ascii="Times New Roman" w:hAnsi="Times New Roman"/>
          <w:b/>
          <w:noProof/>
          <w:sz w:val="24"/>
          <w:szCs w:val="20"/>
        </w:rPr>
        <w:t xml:space="preserve"> des éléments de preuves obtenus au niveau mondial et de l’UE</w:t>
      </w:r>
      <w:r>
        <w:rPr>
          <w:rFonts w:ascii="Times New Roman" w:hAnsi="Times New Roman"/>
          <w:noProof/>
          <w:sz w:val="24"/>
          <w:szCs w:val="20"/>
        </w:rPr>
        <w:t>.</w:t>
      </w:r>
    </w:p>
    <w:p w:rsidR="00F045AF" w:rsidRDefault="00F045AF">
      <w:pPr>
        <w:pStyle w:val="ListParagraph"/>
        <w:spacing w:before="120" w:after="120" w:line="240" w:lineRule="auto"/>
        <w:jc w:val="both"/>
        <w:rPr>
          <w:rFonts w:ascii="Times New Roman" w:eastAsia="Times New Roman" w:hAnsi="Times New Roman" w:cs="Times New Roman"/>
          <w:noProof/>
          <w:sz w:val="24"/>
          <w:szCs w:val="20"/>
          <w:lang w:val="fr-BE" w:eastAsia="en-GB"/>
        </w:rPr>
      </w:pPr>
    </w:p>
    <w:p w:rsidR="00F045AF" w:rsidRDefault="00D30C28">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szCs w:val="20"/>
        </w:rPr>
        <w:t>Les prochaines perspectives en matière d’air pur seront publiées en 2020 et intégreront l’analyse de la Commission sur les programmes nationaux de réduction de la pollution atmosphérique de 20</w:t>
      </w:r>
      <w:r>
        <w:rPr>
          <w:rFonts w:ascii="Times New Roman" w:hAnsi="Times New Roman"/>
          <w:noProof/>
          <w:sz w:val="24"/>
          <w:szCs w:val="20"/>
        </w:rPr>
        <w:t>19.</w:t>
      </w:r>
    </w:p>
    <w:sectPr w:rsidR="00F045AF">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FC967" w16cid:durableId="1E39A3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5AF" w:rsidRDefault="00D30C28">
      <w:pPr>
        <w:spacing w:after="0" w:line="240" w:lineRule="auto"/>
      </w:pPr>
      <w:r>
        <w:separator/>
      </w:r>
    </w:p>
  </w:endnote>
  <w:endnote w:type="continuationSeparator" w:id="0">
    <w:p w:rsidR="00F045AF" w:rsidRDefault="00D3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Albertina-Regu-Identity-H">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28" w:rsidRPr="00D30C28" w:rsidRDefault="00D30C28" w:rsidP="00D30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28" w:rsidRPr="00D30C28" w:rsidRDefault="00D30C28" w:rsidP="00D30C28">
    <w:pPr>
      <w:pStyle w:val="FooterCoverPage"/>
      <w:rPr>
        <w:rFonts w:ascii="Arial" w:hAnsi="Arial" w:cs="Arial"/>
        <w:b/>
        <w:sz w:val="48"/>
      </w:rPr>
    </w:pPr>
    <w:r w:rsidRPr="00D30C28">
      <w:rPr>
        <w:rFonts w:ascii="Arial" w:hAnsi="Arial" w:cs="Arial"/>
        <w:b/>
        <w:sz w:val="48"/>
      </w:rPr>
      <w:t>FR</w:t>
    </w:r>
    <w:r w:rsidRPr="00D30C28">
      <w:rPr>
        <w:rFonts w:ascii="Arial" w:hAnsi="Arial" w:cs="Arial"/>
        <w:b/>
        <w:sz w:val="48"/>
      </w:rPr>
      <w:tab/>
    </w:r>
    <w:r w:rsidRPr="00D30C28">
      <w:rPr>
        <w:rFonts w:ascii="Arial" w:hAnsi="Arial" w:cs="Arial"/>
        <w:b/>
        <w:sz w:val="48"/>
      </w:rPr>
      <w:tab/>
    </w:r>
    <w:r w:rsidRPr="00D30C28">
      <w:tab/>
    </w:r>
    <w:r w:rsidRPr="00D30C2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28" w:rsidRPr="00D30C28" w:rsidRDefault="00D30C28" w:rsidP="00D30C2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AF" w:rsidRDefault="00F045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659800"/>
      <w:docPartObj>
        <w:docPartGallery w:val="Page Numbers (Bottom of Page)"/>
        <w:docPartUnique/>
      </w:docPartObj>
    </w:sdtPr>
    <w:sdtEndPr>
      <w:rPr>
        <w:noProof/>
      </w:rPr>
    </w:sdtEndPr>
    <w:sdtContent>
      <w:p w:rsidR="00F045AF" w:rsidRDefault="00D30C28">
        <w:pPr>
          <w:pStyle w:val="Footer"/>
          <w:jc w:val="center"/>
        </w:pPr>
        <w:r>
          <w:fldChar w:fldCharType="begin"/>
        </w:r>
        <w:r>
          <w:instrText xml:space="preserve"> PAGE   \* MERGEFORMAT </w:instrText>
        </w:r>
        <w:r>
          <w:fldChar w:fldCharType="separate"/>
        </w:r>
        <w:r>
          <w:rPr>
            <w:noProof/>
          </w:rPr>
          <w:t>1</w:t>
        </w:r>
        <w:r>
          <w:fldChar w:fldCharType="end"/>
        </w:r>
      </w:p>
    </w:sdtContent>
  </w:sdt>
  <w:p w:rsidR="00F045AF" w:rsidRDefault="00F045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AF" w:rsidRDefault="00F04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5AF" w:rsidRDefault="00D30C28">
      <w:pPr>
        <w:spacing w:after="0" w:line="240" w:lineRule="auto"/>
      </w:pPr>
      <w:r>
        <w:separator/>
      </w:r>
    </w:p>
  </w:footnote>
  <w:footnote w:type="continuationSeparator" w:id="0">
    <w:p w:rsidR="00F045AF" w:rsidRDefault="00D30C28">
      <w:pPr>
        <w:spacing w:after="0" w:line="240" w:lineRule="auto"/>
      </w:pPr>
      <w:r>
        <w:continuationSeparator/>
      </w:r>
    </w:p>
  </w:footnote>
  <w:footnote w:id="1">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JO L 152 du 11.6.2008, p. 1.</w:t>
      </w:r>
    </w:p>
  </w:footnote>
  <w:footnote w:id="2">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w:t>
      </w:r>
      <w:r>
        <w:rPr>
          <w:rFonts w:ascii="Times New Roman" w:hAnsi="Times New Roman"/>
          <w:iCs/>
          <w:lang w:val="fr-BE"/>
        </w:rPr>
        <w:t>Agence européenne pour l’environnement (AEE), octobre 2017; «Air quality in Europe - 2017 report» (Qualité de l’air en Europe - rapport 2017).</w:t>
      </w:r>
    </w:p>
  </w:footnote>
  <w:footnote w:id="3">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Voir: </w:t>
      </w:r>
      <w:hyperlink r:id="rId1" w:history="1">
        <w:r>
          <w:rPr>
            <w:rStyle w:val="Hyperlink"/>
            <w:rFonts w:ascii="Times New Roman" w:hAnsi="Times New Roman"/>
            <w:lang w:val="fr-BE"/>
          </w:rPr>
          <w:t>http://ec.europa.eu/environment/air/clean_air/review.htm</w:t>
        </w:r>
      </w:hyperlink>
    </w:p>
  </w:footnote>
  <w:footnote w:id="4">
    <w:p w:rsidR="00F045AF" w:rsidRDefault="00D30C28">
      <w:pPr>
        <w:pStyle w:val="FootnoteText"/>
        <w:rPr>
          <w:rFonts w:ascii="Times New Roman" w:hAnsi="Times New Roman" w:cs="Times New Roman"/>
          <w:lang w:val="pt-PT"/>
        </w:rPr>
      </w:pPr>
      <w:r>
        <w:rPr>
          <w:rFonts w:ascii="Times New Roman" w:hAnsi="Times New Roman" w:cs="Times New Roman"/>
          <w:vertAlign w:val="superscript"/>
          <w:lang w:val="fr-BE"/>
        </w:rPr>
        <w:footnoteRef/>
      </w:r>
      <w:r>
        <w:rPr>
          <w:rFonts w:ascii="Times New Roman" w:hAnsi="Times New Roman"/>
          <w:lang w:val="pt-PT"/>
        </w:rPr>
        <w:t xml:space="preserve"> </w:t>
      </w:r>
      <w:r>
        <w:rPr>
          <w:rFonts w:ascii="Times New Roman" w:hAnsi="Times New Roman"/>
          <w:szCs w:val="24"/>
          <w:lang w:val="pt-PT"/>
        </w:rPr>
        <w:t>COM(2013) 918 final.</w:t>
      </w:r>
    </w:p>
  </w:footnote>
  <w:footnote w:id="5">
    <w:p w:rsidR="00F045AF" w:rsidRDefault="00D30C28">
      <w:pPr>
        <w:pStyle w:val="FootnoteText"/>
        <w:rPr>
          <w:rFonts w:ascii="Times New Roman" w:hAnsi="Times New Roman" w:cs="Times New Roman"/>
          <w:lang w:val="pt-PT"/>
        </w:rPr>
      </w:pPr>
      <w:r>
        <w:rPr>
          <w:rFonts w:ascii="Times New Roman" w:hAnsi="Times New Roman" w:cs="Times New Roman"/>
          <w:vertAlign w:val="superscript"/>
          <w:lang w:val="fr-BE"/>
        </w:rPr>
        <w:footnoteRef/>
      </w:r>
      <w:r>
        <w:rPr>
          <w:rFonts w:ascii="Times New Roman" w:hAnsi="Times New Roman"/>
          <w:lang w:val="pt-PT"/>
        </w:rPr>
        <w:t xml:space="preserve"> JO L 313 du 28.11.2015, p. 1.</w:t>
      </w:r>
    </w:p>
  </w:footnote>
  <w:footnote w:id="6">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JO L 248 du 27.9.2017, p. 3.</w:t>
      </w:r>
    </w:p>
  </w:footnote>
  <w:footnote w:id="7">
    <w:p w:rsidR="00F045AF" w:rsidRDefault="00D30C28">
      <w:pPr>
        <w:pStyle w:val="FootnoteText"/>
        <w:rPr>
          <w:lang w:val="fr-BE"/>
        </w:rPr>
      </w:pPr>
      <w:r>
        <w:rPr>
          <w:rFonts w:ascii="Times New Roman" w:hAnsi="Times New Roman" w:cs="Times New Roman"/>
          <w:vertAlign w:val="superscript"/>
          <w:lang w:val="fr-BE"/>
        </w:rPr>
        <w:footnoteRef/>
      </w:r>
      <w:r>
        <w:rPr>
          <w:rFonts w:ascii="Times New Roman" w:hAnsi="Times New Roman"/>
          <w:lang w:val="fr-BE"/>
        </w:rPr>
        <w:t xml:space="preserve"> JO L 344 du 17.12.2016, p. 1.</w:t>
      </w:r>
    </w:p>
  </w:footnote>
  <w:footnote w:id="8">
    <w:p w:rsidR="00F045AF" w:rsidRDefault="00D30C28">
      <w:pPr>
        <w:pStyle w:val="FootnoteText"/>
        <w:rPr>
          <w:lang w:val="fr-BE"/>
        </w:rPr>
      </w:pPr>
      <w:r>
        <w:rPr>
          <w:rFonts w:ascii="Times New Roman" w:hAnsi="Times New Roman" w:cs="Times New Roman"/>
          <w:vertAlign w:val="superscript"/>
          <w:lang w:val="fr-BE"/>
        </w:rPr>
        <w:footnoteRef/>
      </w:r>
      <w:r>
        <w:rPr>
          <w:lang w:val="fr-BE"/>
        </w:rPr>
        <w:t xml:space="preserve"> </w:t>
      </w:r>
      <w:r>
        <w:rPr>
          <w:rFonts w:ascii="Times New Roman" w:hAnsi="Times New Roman" w:cs="Times New Roman"/>
          <w:iCs/>
          <w:lang w:val="fr-BE"/>
        </w:rPr>
        <w:t>Agence e</w:t>
      </w:r>
      <w:r>
        <w:rPr>
          <w:rFonts w:ascii="Times New Roman" w:hAnsi="Times New Roman" w:cs="Times New Roman"/>
          <w:iCs/>
          <w:lang w:val="fr-BE"/>
        </w:rPr>
        <w:t>uropéenne pour l'environnement (AEE), octobre 2017, «Air quality in Europe - 2017 report»</w:t>
      </w:r>
    </w:p>
  </w:footnote>
  <w:footnote w:id="9">
    <w:p w:rsidR="00F045AF" w:rsidRDefault="00D30C28">
      <w:pPr>
        <w:pStyle w:val="FootnoteText"/>
        <w:ind w:left="120" w:hanging="120"/>
        <w:rPr>
          <w:rFonts w:ascii="Times New Roman" w:hAnsi="Times New Roman" w:cs="Times New Roman"/>
          <w:lang w:val="pt-PT"/>
        </w:rPr>
      </w:pPr>
      <w:r>
        <w:rPr>
          <w:rFonts w:ascii="Times New Roman" w:hAnsi="Times New Roman" w:cs="Times New Roman"/>
          <w:vertAlign w:val="superscript"/>
          <w:lang w:val="fr-BE"/>
        </w:rPr>
        <w:footnoteRef/>
      </w:r>
      <w:r>
        <w:rPr>
          <w:rFonts w:ascii="Times New Roman" w:hAnsi="Times New Roman"/>
          <w:lang w:val="fr-BE"/>
        </w:rPr>
        <w:t xml:space="preserve"> Règlement (UE) 2017/1151 de la Commission, tel que modifié. </w:t>
      </w:r>
      <w:r>
        <w:rPr>
          <w:rFonts w:ascii="Times New Roman" w:hAnsi="Times New Roman"/>
          <w:lang w:val="pt-PT"/>
        </w:rPr>
        <w:t>JO L 175 du 7.7.2017, p. 1.</w:t>
      </w:r>
    </w:p>
  </w:footnote>
  <w:footnote w:id="10">
    <w:p w:rsidR="00F045AF" w:rsidRDefault="00D30C28">
      <w:pPr>
        <w:pStyle w:val="FootnoteText"/>
        <w:ind w:left="120" w:hanging="120"/>
        <w:rPr>
          <w:rFonts w:ascii="Times New Roman" w:hAnsi="Times New Roman" w:cs="Times New Roman"/>
          <w:lang w:val="pt-PT"/>
        </w:rPr>
      </w:pPr>
      <w:r>
        <w:rPr>
          <w:rFonts w:ascii="Times New Roman" w:hAnsi="Times New Roman" w:cs="Times New Roman"/>
          <w:vertAlign w:val="superscript"/>
          <w:lang w:val="fr-BE"/>
        </w:rPr>
        <w:footnoteRef/>
      </w:r>
      <w:r>
        <w:rPr>
          <w:rFonts w:ascii="Times New Roman" w:hAnsi="Times New Roman"/>
          <w:lang w:val="pt-PT"/>
        </w:rPr>
        <w:t xml:space="preserve"> COM(2016)31 final.</w:t>
      </w:r>
    </w:p>
  </w:footnote>
  <w:footnote w:id="11">
    <w:p w:rsidR="00F045AF" w:rsidRDefault="00D30C28">
      <w:pPr>
        <w:pStyle w:val="FootnoteText"/>
        <w:ind w:left="240" w:hanging="240"/>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Règlement (CE) nº 715/2007. JO L 171 du 29.6.2007, p.</w:t>
      </w:r>
      <w:r>
        <w:rPr>
          <w:rFonts w:ascii="Times New Roman" w:hAnsi="Times New Roman"/>
          <w:lang w:val="fr-BE"/>
        </w:rPr>
        <w:t> 1.</w:t>
      </w:r>
    </w:p>
  </w:footnote>
  <w:footnote w:id="12">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Directive 2010/75/UE, JO L 334 du 17.12.2010, p. 17.</w:t>
      </w:r>
    </w:p>
  </w:footnote>
  <w:footnote w:id="13">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Règlement (UE) 2015/1185 de la Commission, JO L 193 du 21.7.2015.</w:t>
      </w:r>
    </w:p>
  </w:footnote>
  <w:footnote w:id="14">
    <w:p w:rsidR="00F045AF" w:rsidRDefault="00D30C28">
      <w:pPr>
        <w:pStyle w:val="FootnoteText"/>
        <w:rPr>
          <w:lang w:val="fr-BE"/>
        </w:rPr>
      </w:pPr>
      <w:r>
        <w:rPr>
          <w:rFonts w:ascii="Times New Roman" w:hAnsi="Times New Roman" w:cs="Times New Roman"/>
          <w:vertAlign w:val="superscript"/>
          <w:lang w:val="fr-BE"/>
        </w:rPr>
        <w:footnoteRef/>
      </w:r>
      <w:r>
        <w:rPr>
          <w:rFonts w:ascii="Times New Roman" w:hAnsi="Times New Roman"/>
          <w:lang w:val="fr-BE"/>
        </w:rPr>
        <w:t xml:space="preserve"> Règlement (UE) 2015/1189 de la Commission, JO L 193 du 21.7.2015.</w:t>
      </w:r>
    </w:p>
  </w:footnote>
  <w:footnote w:id="15">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Directive 2010/31/UE, JO L 153 du 18.6.2010, p. 13.</w:t>
      </w:r>
    </w:p>
  </w:footnote>
  <w:footnote w:id="16">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Direc</w:t>
      </w:r>
      <w:r>
        <w:rPr>
          <w:rFonts w:ascii="Times New Roman" w:hAnsi="Times New Roman"/>
          <w:lang w:val="fr-BE"/>
        </w:rPr>
        <w:t>tive 2012/27/UE, JO L 315 du 14.11.2012, p. 1.</w:t>
      </w:r>
    </w:p>
  </w:footnote>
  <w:footnote w:id="17">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Règlement (UE) 2017/1369, JO L 198, du 28.7.2017, p. 1.</w:t>
      </w:r>
    </w:p>
  </w:footnote>
  <w:footnote w:id="18">
    <w:p w:rsidR="00F045AF" w:rsidRDefault="00D30C28">
      <w:pPr>
        <w:pStyle w:val="FootnoteText"/>
        <w:ind w:left="120" w:hanging="120"/>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Décision d’exécution (UE) 2017/1442 de la Commission, JO L 212 du 17.8.2017, p. 1.</w:t>
      </w:r>
    </w:p>
  </w:footnote>
  <w:footnote w:id="19">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COM(2017) 57 final - Rapport sur les progrès accomplis dans le secteur des énergies renouvelables, p. 5.</w:t>
      </w:r>
    </w:p>
  </w:footnote>
  <w:footnote w:id="20">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COM(2016) 860 final - Communication «Une énergie propre pour tous les Européens», p. 9.</w:t>
      </w:r>
    </w:p>
  </w:footnote>
  <w:footnote w:id="21">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Voir: </w:t>
      </w:r>
      <w:hyperlink r:id="rId2" w:history="1">
        <w:r>
          <w:rPr>
            <w:rStyle w:val="Hyperlink"/>
            <w:rFonts w:ascii="Times New Roman" w:hAnsi="Times New Roman"/>
            <w:lang w:val="fr-BE"/>
          </w:rPr>
          <w:t>http://ec.europa.eu/environment/eir/index_en.htm</w:t>
        </w:r>
      </w:hyperlink>
      <w:r>
        <w:rPr>
          <w:rFonts w:ascii="Times New Roman" w:hAnsi="Times New Roman"/>
          <w:lang w:val="fr-BE"/>
        </w:rPr>
        <w:t xml:space="preserve"> </w:t>
      </w:r>
    </w:p>
  </w:footnote>
  <w:footnote w:id="22">
    <w:p w:rsidR="00F045AF" w:rsidRDefault="00D30C28">
      <w:pPr>
        <w:pStyle w:val="FootnoteText"/>
        <w:rPr>
          <w:lang w:val="fr-BE"/>
        </w:rPr>
      </w:pPr>
      <w:r>
        <w:rPr>
          <w:rFonts w:ascii="Times New Roman" w:hAnsi="Times New Roman" w:cs="Times New Roman"/>
          <w:vertAlign w:val="superscript"/>
          <w:lang w:val="fr-BE"/>
        </w:rPr>
        <w:footnoteRef/>
      </w:r>
      <w:r>
        <w:rPr>
          <w:rFonts w:ascii="Times New Roman" w:hAnsi="Times New Roman"/>
          <w:lang w:val="fr-BE"/>
        </w:rPr>
        <w:t xml:space="preserve"> Voir: </w:t>
      </w:r>
      <w:hyperlink r:id="rId3" w:history="1">
        <w:r>
          <w:rPr>
            <w:rStyle w:val="Hyperlink"/>
            <w:rFonts w:ascii="Times New Roman" w:hAnsi="Times New Roman"/>
            <w:lang w:val="fr-BE"/>
          </w:rPr>
          <w:t>http://ec.europa.eu/environment/air/clean_air/dialogue.htm</w:t>
        </w:r>
      </w:hyperlink>
      <w:r>
        <w:rPr>
          <w:rFonts w:ascii="Times New Roman" w:hAnsi="Times New Roman"/>
          <w:lang w:val="fr-BE"/>
        </w:rPr>
        <w:t xml:space="preserve"> </w:t>
      </w:r>
    </w:p>
  </w:footnote>
  <w:footnote w:id="23">
    <w:p w:rsidR="00F045AF" w:rsidRDefault="00D30C28">
      <w:pPr>
        <w:pStyle w:val="FootnoteText"/>
        <w:rPr>
          <w:rFonts w:ascii="Times New Roman" w:hAnsi="Times New Roman" w:cs="Times New Roman"/>
          <w:lang w:val="pt-PT"/>
        </w:rPr>
      </w:pPr>
      <w:r>
        <w:rPr>
          <w:rFonts w:ascii="Times New Roman" w:hAnsi="Times New Roman" w:cs="Times New Roman"/>
          <w:vertAlign w:val="superscript"/>
          <w:lang w:val="fr-BE"/>
        </w:rPr>
        <w:footnoteRef/>
      </w:r>
      <w:r>
        <w:rPr>
          <w:rFonts w:ascii="Times New Roman" w:hAnsi="Times New Roman"/>
          <w:lang w:val="pt-PT"/>
        </w:rPr>
        <w:t xml:space="preserve"> COM(2013)920 final.</w:t>
      </w:r>
    </w:p>
  </w:footnote>
  <w:footnote w:id="24">
    <w:p w:rsidR="00F045AF" w:rsidRDefault="00D30C28">
      <w:pPr>
        <w:pStyle w:val="FootnoteText"/>
        <w:rPr>
          <w:lang w:val="pt-PT"/>
        </w:rPr>
      </w:pPr>
      <w:r>
        <w:rPr>
          <w:rFonts w:ascii="Times New Roman" w:hAnsi="Times New Roman" w:cs="Times New Roman"/>
          <w:vertAlign w:val="superscript"/>
          <w:lang w:val="fr-BE"/>
        </w:rPr>
        <w:footnoteRef/>
      </w:r>
      <w:r>
        <w:rPr>
          <w:rFonts w:ascii="Times New Roman" w:hAnsi="Times New Roman"/>
          <w:lang w:val="pt-PT"/>
        </w:rPr>
        <w:t xml:space="preserve"> Règlement (UE) 2016/1628, JO L 252 du 16.9.2016.</w:t>
      </w:r>
    </w:p>
  </w:footnote>
  <w:footnote w:id="25">
    <w:p w:rsidR="00F045AF" w:rsidRDefault="00D30C28">
      <w:pPr>
        <w:pStyle w:val="NormalWeb"/>
        <w:spacing w:before="0" w:beforeAutospacing="0" w:after="0" w:afterAutospacing="0"/>
        <w:jc w:val="both"/>
        <w:rPr>
          <w:lang w:val="fr-BE"/>
        </w:rPr>
      </w:pPr>
      <w:r>
        <w:rPr>
          <w:rFonts w:eastAsiaTheme="minorHAnsi"/>
          <w:sz w:val="20"/>
          <w:szCs w:val="20"/>
          <w:vertAlign w:val="superscript"/>
          <w:lang w:val="fr-BE"/>
        </w:rPr>
        <w:footnoteRef/>
      </w:r>
      <w:r>
        <w:rPr>
          <w:lang w:val="fr-BE"/>
        </w:rPr>
        <w:t xml:space="preserve"> </w:t>
      </w:r>
      <w:r>
        <w:rPr>
          <w:sz w:val="20"/>
          <w:szCs w:val="20"/>
          <w:lang w:val="fr-BE"/>
        </w:rPr>
        <w:t>Annexe II relative à la conditionnalité du règlement (UE) n ° 1306/2013 du Parlement européen et du Conseil du 17 décembre 2013 relatif au financement, à la gestion et au suivi de l</w:t>
      </w:r>
      <w:r>
        <w:rPr>
          <w:sz w:val="20"/>
          <w:szCs w:val="20"/>
          <w:lang w:val="fr-BE"/>
        </w:rPr>
        <w:t>a politique agricole commune, JO L 347 du 20.12.2013, p. 549</w:t>
      </w:r>
      <w:r>
        <w:rPr>
          <w:rFonts w:ascii="EUAlbertina-Regu-Identity-H" w:hAnsi="EUAlbertina-Regu-Identity-H"/>
          <w:sz w:val="18"/>
          <w:szCs w:val="18"/>
          <w:lang w:val="fr-BE"/>
        </w:rPr>
        <w:t>.</w:t>
      </w:r>
    </w:p>
  </w:footnote>
  <w:footnote w:id="26">
    <w:p w:rsidR="00F045AF" w:rsidRDefault="00D30C28">
      <w:pPr>
        <w:pStyle w:val="FootnoteText"/>
        <w:jc w:val="both"/>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L’estimation des coûts de mise en œuvre de la proposition originale de la Commission est présentée dans le rapport STPA nº 16 (IIASA). Disponible sous:</w:t>
      </w:r>
      <w:r>
        <w:rPr>
          <w:lang w:val="fr-BE"/>
        </w:rPr>
        <w:t xml:space="preserve"> </w:t>
      </w:r>
      <w:hyperlink r:id="rId4" w:history="1">
        <w:r>
          <w:rPr>
            <w:rStyle w:val="Hyperlink"/>
            <w:rFonts w:ascii="Times New Roman" w:hAnsi="Times New Roman"/>
            <w:lang w:val="fr-BE"/>
          </w:rPr>
          <w:t>http://www.iiasa.ac.at/web/home/research/researchPrograms/air/policy/TSAP-reports.html</w:t>
        </w:r>
      </w:hyperlink>
    </w:p>
  </w:footnote>
  <w:footnote w:id="27">
    <w:p w:rsidR="00F045AF" w:rsidRDefault="00D30C28">
      <w:pPr>
        <w:pStyle w:val="FootnoteText"/>
        <w:jc w:val="both"/>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Veuillez noter que le chiffre par habitant est une moyenne qui ne reflète pas les différences de coûts e</w:t>
      </w:r>
      <w:r>
        <w:rPr>
          <w:rFonts w:ascii="Times New Roman" w:hAnsi="Times New Roman"/>
          <w:lang w:val="fr-BE"/>
        </w:rPr>
        <w:t>ntre les différentes régions et les différents opérateurs économiques.</w:t>
      </w:r>
    </w:p>
  </w:footnote>
  <w:footnote w:id="28">
    <w:p w:rsidR="00F045AF" w:rsidRDefault="00D30C28">
      <w:pPr>
        <w:pStyle w:val="FootnoteText"/>
        <w:jc w:val="both"/>
        <w:rPr>
          <w:rFonts w:ascii="Times New Roman" w:hAnsi="Times New Roman" w:cs="Times New Roman"/>
          <w:lang w:val="fr-BE"/>
        </w:rPr>
      </w:pPr>
      <w:r>
        <w:rPr>
          <w:rFonts w:ascii="Times New Roman" w:hAnsi="Times New Roman" w:cs="Times New Roman"/>
          <w:vertAlign w:val="superscript"/>
          <w:lang w:val="fr-BE"/>
        </w:rPr>
        <w:footnoteRef/>
      </w:r>
      <w:r>
        <w:rPr>
          <w:lang w:val="fr-BE"/>
        </w:rPr>
        <w:t xml:space="preserve"> </w:t>
      </w:r>
      <w:r>
        <w:rPr>
          <w:rFonts w:ascii="Times New Roman" w:hAnsi="Times New Roman"/>
          <w:lang w:val="fr-BE"/>
        </w:rPr>
        <w:t xml:space="preserve">Les propositions de la Commission sont disponibles sur le site </w:t>
      </w:r>
      <w:hyperlink r:id="rId5" w:anchor="tab-0-0" w:history="1">
        <w:r>
          <w:rPr>
            <w:rFonts w:ascii="Times New Roman" w:hAnsi="Times New Roman"/>
            <w:lang w:val="fr-BE"/>
          </w:rPr>
          <w:t>https://ec.europa.eu/clima/policies/</w:t>
        </w:r>
        <w:r>
          <w:rPr>
            <w:rFonts w:ascii="Times New Roman" w:hAnsi="Times New Roman"/>
            <w:lang w:val="fr-BE"/>
          </w:rPr>
          <w:t>strategies/2030_en#tab-0-0</w:t>
        </w:r>
      </w:hyperlink>
      <w:r>
        <w:rPr>
          <w:rFonts w:ascii="Times New Roman" w:hAnsi="Times New Roman"/>
          <w:lang w:val="fr-BE"/>
        </w:rPr>
        <w:t>; l’adoption formelle des accords de codécision de 2017 est actuellement en cours.</w:t>
      </w:r>
    </w:p>
  </w:footnote>
  <w:footnote w:id="29">
    <w:p w:rsidR="00F045AF" w:rsidRDefault="00D30C28">
      <w:pPr>
        <w:pStyle w:val="FootnoteText"/>
        <w:rPr>
          <w:lang w:val="fr-BE"/>
        </w:rPr>
      </w:pPr>
      <w:r>
        <w:rPr>
          <w:rFonts w:ascii="Times New Roman" w:hAnsi="Times New Roman" w:cs="Times New Roman"/>
          <w:vertAlign w:val="superscript"/>
          <w:lang w:val="fr-BE"/>
        </w:rPr>
        <w:footnoteRef/>
      </w:r>
      <w:r>
        <w:rPr>
          <w:rFonts w:ascii="Times New Roman" w:hAnsi="Times New Roman"/>
          <w:lang w:val="fr-BE"/>
        </w:rPr>
        <w:t xml:space="preserve"> Des détails sont disponibles dans le rapport joint de l’Institut international pour l’analyse des systèmes appliqués intitulé «Progress towards the achievement of the EU's air quality and emissions objectives» (Progrès réalisés vers la réalisation des obj</w:t>
      </w:r>
      <w:r>
        <w:rPr>
          <w:rFonts w:ascii="Times New Roman" w:hAnsi="Times New Roman"/>
          <w:lang w:val="fr-BE"/>
        </w:rPr>
        <w:t>ectifs en matière d’émissions et de qualité de l’air de l’UE).</w:t>
      </w:r>
    </w:p>
  </w:footnote>
  <w:footnote w:id="30">
    <w:p w:rsidR="00F045AF" w:rsidRDefault="00D30C28">
      <w:pPr>
        <w:pStyle w:val="FootnoteText"/>
        <w:rPr>
          <w:lang w:val="fr-BE"/>
        </w:rPr>
      </w:pPr>
      <w:r>
        <w:rPr>
          <w:rFonts w:ascii="Times New Roman" w:hAnsi="Times New Roman" w:cs="Times New Roman"/>
          <w:vertAlign w:val="superscript"/>
          <w:lang w:val="fr-BE"/>
        </w:rPr>
        <w:footnoteRef/>
      </w:r>
      <w:r>
        <w:rPr>
          <w:lang w:val="fr-BE"/>
        </w:rPr>
        <w:t xml:space="preserve"> </w:t>
      </w:r>
      <w:r>
        <w:rPr>
          <w:rFonts w:ascii="Times New Roman" w:hAnsi="Times New Roman"/>
          <w:lang w:val="fr-BE"/>
        </w:rPr>
        <w:t>Décision d’application (UE) 2017/302 de la Commission, JO L 43 du 21.2.2017, p. 231.</w:t>
      </w:r>
    </w:p>
  </w:footnote>
  <w:footnote w:id="31">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Directive 91/676/UE du Conseil, JO L 375 du 31.12.1991, p. 1.</w:t>
      </w:r>
    </w:p>
  </w:footnote>
  <w:footnote w:id="32">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w:t>
      </w:r>
      <w:r>
        <w:rPr>
          <w:rFonts w:ascii="Times New Roman" w:hAnsi="Times New Roman" w:cs="Times New Roman"/>
          <w:lang w:val="fr-BE"/>
        </w:rPr>
        <w:t>Propositions de la Commission pour les s</w:t>
      </w:r>
      <w:r>
        <w:rPr>
          <w:rFonts w:ascii="Times New Roman" w:hAnsi="Times New Roman" w:cs="Times New Roman"/>
          <w:lang w:val="fr-BE"/>
        </w:rPr>
        <w:t>ecteurs SEQE et les secteurs hors SEQE pour 2030,</w:t>
      </w:r>
      <w:r>
        <w:rPr>
          <w:lang w:val="fr-BE"/>
        </w:rPr>
        <w:t xml:space="preserve"> </w:t>
      </w:r>
      <w:hyperlink r:id="rId6" w:history="1">
        <w:r>
          <w:rPr>
            <w:rStyle w:val="Hyperlink"/>
            <w:rFonts w:ascii="Times New Roman" w:hAnsi="Times New Roman"/>
            <w:lang w:val="fr-BE"/>
          </w:rPr>
          <w:t>https://ec.europa.eu/clima/policies/strategies/2030_fr</w:t>
        </w:r>
      </w:hyperlink>
      <w:r>
        <w:rPr>
          <w:rFonts w:ascii="Times New Roman" w:hAnsi="Times New Roman"/>
          <w:lang w:val="fr-BE"/>
        </w:rPr>
        <w:t xml:space="preserve"> </w:t>
      </w:r>
    </w:p>
  </w:footnote>
  <w:footnote w:id="33">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w:t>
      </w:r>
      <w:r>
        <w:rPr>
          <w:rFonts w:ascii="Times New Roman" w:hAnsi="Times New Roman" w:cs="Times New Roman"/>
          <w:lang w:val="fr-BE"/>
        </w:rPr>
        <w:t>Voir:</w:t>
      </w:r>
      <w:r>
        <w:rPr>
          <w:lang w:val="fr-BE"/>
        </w:rPr>
        <w:t xml:space="preserve"> </w:t>
      </w:r>
      <w:hyperlink r:id="rId7" w:history="1">
        <w:r>
          <w:rPr>
            <w:rStyle w:val="Hyperlink"/>
            <w:rFonts w:ascii="Times New Roman" w:hAnsi="Times New Roman"/>
            <w:lang w:val="fr-BE"/>
          </w:rPr>
          <w:t>https://cohesiondata</w:t>
        </w:r>
        <w:r>
          <w:rPr>
            <w:rStyle w:val="Hyperlink"/>
            <w:rFonts w:ascii="Times New Roman" w:hAnsi="Times New Roman"/>
            <w:lang w:val="fr-BE"/>
          </w:rPr>
          <w:t>.ec.europa.eu/</w:t>
        </w:r>
      </w:hyperlink>
      <w:r>
        <w:rPr>
          <w:rFonts w:ascii="Times New Roman" w:hAnsi="Times New Roman"/>
          <w:lang w:val="fr-BE"/>
        </w:rPr>
        <w:t xml:space="preserve"> </w:t>
      </w:r>
    </w:p>
  </w:footnote>
  <w:footnote w:id="34">
    <w:p w:rsidR="00F045AF" w:rsidRDefault="00D30C28">
      <w:pPr>
        <w:pStyle w:val="FootnoteText"/>
        <w:rPr>
          <w:lang w:val="fr-BE"/>
        </w:rPr>
      </w:pPr>
      <w:r>
        <w:rPr>
          <w:rFonts w:ascii="Times New Roman" w:hAnsi="Times New Roman" w:cs="Times New Roman"/>
          <w:vertAlign w:val="superscript"/>
          <w:lang w:val="fr-BE"/>
        </w:rPr>
        <w:footnoteRef/>
      </w:r>
      <w:r>
        <w:rPr>
          <w:lang w:val="fr-BE"/>
        </w:rPr>
        <w:t xml:space="preserve"> </w:t>
      </w:r>
      <w:r>
        <w:rPr>
          <w:rFonts w:ascii="Times New Roman" w:hAnsi="Times New Roman"/>
          <w:lang w:val="fr-BE"/>
        </w:rPr>
        <w:t>Rapport à venir de la société Ricardo Energy and Environment sur une méthodologie de suivi pour la qualité de l’air.</w:t>
      </w:r>
    </w:p>
  </w:footnote>
  <w:footnote w:id="35">
    <w:p w:rsidR="00F045AF" w:rsidRDefault="00D30C28">
      <w:pPr>
        <w:pStyle w:val="FootnoteText"/>
        <w:spacing w:after="120"/>
        <w:rPr>
          <w:lang w:val="fr-BE"/>
        </w:rPr>
      </w:pPr>
      <w:r>
        <w:rPr>
          <w:rFonts w:ascii="Times New Roman" w:hAnsi="Times New Roman" w:cs="Times New Roman"/>
          <w:vertAlign w:val="superscript"/>
          <w:lang w:val="fr-BE"/>
        </w:rPr>
        <w:footnoteRef/>
      </w:r>
      <w:r>
        <w:rPr>
          <w:rFonts w:ascii="Times New Roman" w:hAnsi="Times New Roman" w:cs="Times New Roman"/>
          <w:vertAlign w:val="superscript"/>
          <w:lang w:val="fr-BE"/>
        </w:rPr>
        <w:t xml:space="preserve"> </w:t>
      </w:r>
      <w:r>
        <w:rPr>
          <w:rFonts w:ascii="Times New Roman" w:hAnsi="Times New Roman" w:cs="Times New Roman"/>
          <w:lang w:val="fr-BE"/>
        </w:rPr>
        <w:t>COM(2018) 321</w:t>
      </w:r>
    </w:p>
  </w:footnote>
  <w:footnote w:id="36">
    <w:p w:rsidR="00F045AF" w:rsidRDefault="00D30C28">
      <w:pPr>
        <w:pStyle w:val="FootnoteText"/>
        <w:rPr>
          <w:rFonts w:ascii="Times New Roman" w:hAnsi="Times New Roman" w:cs="Times New Roman"/>
          <w:lang w:val="fr-BE"/>
        </w:rPr>
      </w:pPr>
      <w:r>
        <w:rPr>
          <w:rFonts w:ascii="Times New Roman" w:hAnsi="Times New Roman" w:cs="Times New Roman"/>
          <w:vertAlign w:val="superscript"/>
          <w:lang w:val="fr-BE"/>
        </w:rPr>
        <w:footnoteRef/>
      </w:r>
      <w:r>
        <w:rPr>
          <w:rFonts w:ascii="Times New Roman" w:hAnsi="Times New Roman"/>
          <w:lang w:val="fr-BE"/>
        </w:rPr>
        <w:t xml:space="preserve"> CZ, FI, DE, NL, RO, SK, ES, SE.  Voir aussi: </w:t>
      </w:r>
      <w:hyperlink r:id="rId8" w:history="1">
        <w:r>
          <w:rPr>
            <w:rStyle w:val="Hyperlink"/>
            <w:rFonts w:ascii="Times New Roman" w:hAnsi="Times New Roman"/>
            <w:lang w:val="fr-BE"/>
          </w:rPr>
          <w:t>http://www.unece.org/env/lrtap/status/lrtap_s.html</w:t>
        </w:r>
      </w:hyperlink>
      <w:r>
        <w:rPr>
          <w:rFonts w:ascii="Times New Roman" w:hAnsi="Times New Roman"/>
          <w:lang w:val="fr-BE"/>
        </w:rPr>
        <w:t xml:space="preserve"> </w:t>
      </w:r>
    </w:p>
    <w:p w:rsidR="00F045AF" w:rsidRDefault="00F045AF">
      <w:pPr>
        <w:pStyle w:val="FootnoteText"/>
        <w:rPr>
          <w:lang w:val="fr-BE"/>
        </w:rPr>
      </w:pPr>
    </w:p>
  </w:footnote>
  <w:footnote w:id="37">
    <w:p w:rsidR="00F045AF" w:rsidRDefault="00D30C28">
      <w:pPr>
        <w:pStyle w:val="FootnoteText"/>
        <w:rPr>
          <w:lang w:val="pt-PT"/>
        </w:rPr>
      </w:pPr>
      <w:r>
        <w:rPr>
          <w:rFonts w:ascii="Times New Roman" w:hAnsi="Times New Roman" w:cs="Times New Roman"/>
          <w:vertAlign w:val="superscript"/>
          <w:lang w:val="fr-BE"/>
        </w:rPr>
        <w:footnoteRef/>
      </w:r>
      <w:r>
        <w:rPr>
          <w:lang w:val="pt-PT"/>
        </w:rPr>
        <w:t xml:space="preserve"> </w:t>
      </w:r>
      <w:r>
        <w:rPr>
          <w:rFonts w:ascii="Times New Roman" w:hAnsi="Times New Roman" w:cs="Times New Roman"/>
          <w:lang w:val="pt-PT"/>
        </w:rPr>
        <w:t>COM(2018) 330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28" w:rsidRPr="00D30C28" w:rsidRDefault="00D30C28" w:rsidP="00D30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28" w:rsidRPr="00D30C28" w:rsidRDefault="00D30C28" w:rsidP="00D30C2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28" w:rsidRPr="00D30C28" w:rsidRDefault="00D30C28" w:rsidP="00D30C2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AF" w:rsidRDefault="00F045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AF" w:rsidRDefault="00F045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AF" w:rsidRDefault="00F04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6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FB04E9"/>
    <w:multiLevelType w:val="hybridMultilevel"/>
    <w:tmpl w:val="00A0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759B3"/>
    <w:multiLevelType w:val="hybridMultilevel"/>
    <w:tmpl w:val="CC6AA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0D2CB0"/>
    <w:multiLevelType w:val="hybridMultilevel"/>
    <w:tmpl w:val="A2F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This document corrects document COM (2018) 446 final of 7.6.2018._x000b__x000b_Concerns all language versions._x000b__x000b_Replacement of figure 2a on page 7 and of figure 5 on page 12_x000b_The text shall read as follows:"/>
    <w:docVar w:name="LW_COVERPAGE_EXISTS" w:val="True"/>
    <w:docVar w:name="LW_COVERPAGE_GUID" w:val="49F7F4D9-81A6-4F96-9D30-D74DA0756FC6"/>
    <w:docVar w:name="LW_COVERPAGE_TYPE" w:val="1"/>
    <w:docVar w:name="LW_CROSSREFERENCE" w:val="&lt;UNUSED&gt;"/>
    <w:docVar w:name="LW_DocType" w:val="NORMAL"/>
    <w:docVar w:name="LW_EMISSION" w:val="30.1.2019"/>
    <w:docVar w:name="LW_EMISSION_ISODATE" w:val="2019-01-30"/>
    <w:docVar w:name="LW_EMISSION_LOCATION" w:val="BRX"/>
    <w:docVar w:name="LW_EMISSION_PREFIX" w:val="Bruxelles, le "/>
    <w:docVar w:name="LW_EMISSION_SUFFIX" w:val="&lt;EMPTY&gt;"/>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8)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PREMIÈRES PERSPECTIVES EN MATIÈRE D'AIR PUR"/>
    <w:docVar w:name="LW_TYPE.DOC.CP" w:val="RAPPORT DE LA COMMISSION AU PARLEMENT EUROPÉEN, AU CONSEIL, AU COMITÉ ÉCONOMIQUE ET SOCIAL EUROPÉEN ET AU COMITÉ DES RÉGIONS"/>
  </w:docVars>
  <w:rsids>
    <w:rsidRoot w:val="00F045AF"/>
    <w:rsid w:val="00D30C28"/>
    <w:rsid w:val="00F0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8CE6840-A3A1-4802-B13C-E1D031D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fr-FR"/>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397">
      <w:bodyDiv w:val="1"/>
      <w:marLeft w:val="0"/>
      <w:marRight w:val="0"/>
      <w:marTop w:val="0"/>
      <w:marBottom w:val="0"/>
      <w:divBdr>
        <w:top w:val="none" w:sz="0" w:space="0" w:color="auto"/>
        <w:left w:val="none" w:sz="0" w:space="0" w:color="auto"/>
        <w:bottom w:val="none" w:sz="0" w:space="0" w:color="auto"/>
        <w:right w:val="none" w:sz="0" w:space="0" w:color="auto"/>
      </w:divBdr>
    </w:div>
    <w:div w:id="357892461">
      <w:bodyDiv w:val="1"/>
      <w:marLeft w:val="0"/>
      <w:marRight w:val="0"/>
      <w:marTop w:val="0"/>
      <w:marBottom w:val="0"/>
      <w:divBdr>
        <w:top w:val="none" w:sz="0" w:space="0" w:color="auto"/>
        <w:left w:val="none" w:sz="0" w:space="0" w:color="auto"/>
        <w:bottom w:val="none" w:sz="0" w:space="0" w:color="auto"/>
        <w:right w:val="none" w:sz="0" w:space="0" w:color="auto"/>
      </w:divBdr>
    </w:div>
    <w:div w:id="1246110914">
      <w:bodyDiv w:val="1"/>
      <w:marLeft w:val="0"/>
      <w:marRight w:val="0"/>
      <w:marTop w:val="0"/>
      <w:marBottom w:val="0"/>
      <w:divBdr>
        <w:top w:val="none" w:sz="0" w:space="0" w:color="auto"/>
        <w:left w:val="none" w:sz="0" w:space="0" w:color="auto"/>
        <w:bottom w:val="none" w:sz="0" w:space="0" w:color="auto"/>
        <w:right w:val="none" w:sz="0" w:space="0" w:color="auto"/>
      </w:divBdr>
    </w:div>
    <w:div w:id="1314334069">
      <w:bodyDiv w:val="1"/>
      <w:marLeft w:val="0"/>
      <w:marRight w:val="0"/>
      <w:marTop w:val="0"/>
      <w:marBottom w:val="0"/>
      <w:divBdr>
        <w:top w:val="none" w:sz="0" w:space="0" w:color="auto"/>
        <w:left w:val="none" w:sz="0" w:space="0" w:color="auto"/>
        <w:bottom w:val="none" w:sz="0" w:space="0" w:color="auto"/>
        <w:right w:val="none" w:sz="0" w:space="0" w:color="auto"/>
      </w:divBdr>
    </w:div>
    <w:div w:id="1705135265">
      <w:bodyDiv w:val="1"/>
      <w:marLeft w:val="0"/>
      <w:marRight w:val="0"/>
      <w:marTop w:val="0"/>
      <w:marBottom w:val="0"/>
      <w:divBdr>
        <w:top w:val="none" w:sz="0" w:space="0" w:color="auto"/>
        <w:left w:val="none" w:sz="0" w:space="0" w:color="auto"/>
        <w:bottom w:val="none" w:sz="0" w:space="0" w:color="auto"/>
        <w:right w:val="none" w:sz="0" w:space="0" w:color="auto"/>
      </w:divBdr>
    </w:div>
    <w:div w:id="1793982541">
      <w:bodyDiv w:val="1"/>
      <w:marLeft w:val="0"/>
      <w:marRight w:val="0"/>
      <w:marTop w:val="0"/>
      <w:marBottom w:val="0"/>
      <w:divBdr>
        <w:top w:val="none" w:sz="0" w:space="0" w:color="auto"/>
        <w:left w:val="none" w:sz="0" w:space="0" w:color="auto"/>
        <w:bottom w:val="none" w:sz="0" w:space="0" w:color="auto"/>
        <w:right w:val="none" w:sz="0" w:space="0" w:color="auto"/>
      </w:divBdr>
      <w:divsChild>
        <w:div w:id="1317109568">
          <w:marLeft w:val="0"/>
          <w:marRight w:val="0"/>
          <w:marTop w:val="0"/>
          <w:marBottom w:val="0"/>
          <w:divBdr>
            <w:top w:val="none" w:sz="0" w:space="0" w:color="auto"/>
            <w:left w:val="none" w:sz="0" w:space="0" w:color="auto"/>
            <w:bottom w:val="none" w:sz="0" w:space="0" w:color="auto"/>
            <w:right w:val="none" w:sz="0" w:space="0" w:color="auto"/>
          </w:divBdr>
          <w:divsChild>
            <w:div w:id="340552720">
              <w:marLeft w:val="0"/>
              <w:marRight w:val="0"/>
              <w:marTop w:val="0"/>
              <w:marBottom w:val="0"/>
              <w:divBdr>
                <w:top w:val="none" w:sz="0" w:space="0" w:color="auto"/>
                <w:left w:val="none" w:sz="0" w:space="0" w:color="auto"/>
                <w:bottom w:val="none" w:sz="0" w:space="0" w:color="auto"/>
                <w:right w:val="none" w:sz="0" w:space="0" w:color="auto"/>
              </w:divBdr>
              <w:divsChild>
                <w:div w:id="108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emf"/><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env/lrtap/status/lrtap_s.html" TargetMode="External"/><Relationship Id="rId3" Type="http://schemas.openxmlformats.org/officeDocument/2006/relationships/hyperlink" Target="http://ec.europa.eu/environment/air/clean_air/dialogue.htm" TargetMode="External"/><Relationship Id="rId7" Type="http://schemas.openxmlformats.org/officeDocument/2006/relationships/hyperlink" Target="https://cohesiondata.ec.europa.eu/" TargetMode="External"/><Relationship Id="rId2" Type="http://schemas.openxmlformats.org/officeDocument/2006/relationships/hyperlink" Target="http://ec.europa.eu/environment/eir/index_en.htm" TargetMode="External"/><Relationship Id="rId1" Type="http://schemas.openxmlformats.org/officeDocument/2006/relationships/hyperlink" Target="http://ec.europa.eu/environment/air/clean_air/review.htm" TargetMode="External"/><Relationship Id="rId6" Type="http://schemas.openxmlformats.org/officeDocument/2006/relationships/hyperlink" Target="https://ec.europa.eu/clima/policies/strategies/2030_fr" TargetMode="External"/><Relationship Id="rId5" Type="http://schemas.openxmlformats.org/officeDocument/2006/relationships/hyperlink" Target="https://ec.europa.eu/clima/policies/strategies/2030_fr" TargetMode="External"/><Relationship Id="rId4" Type="http://schemas.openxmlformats.org/officeDocument/2006/relationships/hyperlink" Target="http://www.iiasa.ac.at/web/home/research/researchPrograms/air/policy/TSAP-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6098-977C-4DC2-B2E9-59312A1C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18</Pages>
  <Words>6285</Words>
  <Characters>34317</Characters>
  <Application>Microsoft Office Word</Application>
  <DocSecurity>0</DocSecurity>
  <Lines>635</Lines>
  <Paragraphs>196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BALSA GARCIA Maria Del Carmen (SG)</cp:lastModifiedBy>
  <cp:revision>32</cp:revision>
  <cp:lastPrinted>2018-02-22T13:47:00Z</cp:lastPrinted>
  <dcterms:created xsi:type="dcterms:W3CDTF">2018-03-12T11:25:00Z</dcterms:created>
  <dcterms:modified xsi:type="dcterms:W3CDTF">2019-01-29T14:25:00Z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reated using">
    <vt:lpwstr>LW 6.0.1, Build 20180503</vt:lpwstr>
  </property>
  <property fmtid="{D5CDD505-2E9C-101B-9397-08002B2CF9AE}" pid="7" name="Last edited using">
    <vt:lpwstr>LW 6.0.1, Build 20180503</vt:lpwstr>
  </property>
</Properties>
</file>