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3262338-9AC4-4EF2-AD99-FA2DBB765DCA" style="width:450.75pt;height:333.75pt">
            <v:imagedata r:id="rId9" o:title=""/>
          </v:shape>
        </w:pict>
      </w:r>
    </w:p>
    <w:bookmarkEnd w:id="0"/>
    <w:p>
      <w:pPr>
        <w:tabs>
          <w:tab w:val="left" w:pos="5310"/>
        </w:tabs>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rPr>
          <w:rFonts w:ascii="Times New Roman" w:hAnsi="Times New Roman" w:cs="Times New Roman"/>
          <w:b/>
          <w:bCs/>
          <w:noProof/>
          <w:sz w:val="24"/>
          <w:szCs w:val="24"/>
        </w:rPr>
      </w:pPr>
      <w:bookmarkStart w:id="1" w:name="_GoBack"/>
      <w:bookmarkEnd w:id="1"/>
      <w:r>
        <w:rPr>
          <w:rFonts w:ascii="Times New Roman" w:hAnsi="Times New Roman"/>
          <w:b/>
          <w:noProof/>
          <w:sz w:val="24"/>
        </w:rPr>
        <w:lastRenderedPageBreak/>
        <w:t xml:space="preserve">ВЪВЕДЕНИЕ </w:t>
      </w:r>
    </w:p>
    <w:p>
      <w:pPr>
        <w:jc w:val="both"/>
        <w:rPr>
          <w:rFonts w:ascii="Times New Roman" w:hAnsi="Times New Roman" w:cs="Times New Roman"/>
          <w:noProof/>
          <w:sz w:val="24"/>
          <w:szCs w:val="24"/>
        </w:rPr>
      </w:pPr>
      <w:r>
        <w:rPr>
          <w:rFonts w:ascii="Times New Roman" w:hAnsi="Times New Roman"/>
          <w:noProof/>
          <w:sz w:val="24"/>
        </w:rPr>
        <w:t>Регламентът относно пазарите на финансови инструменти (РПФИ)</w:t>
      </w:r>
      <w:r>
        <w:rPr>
          <w:rStyle w:val="FootnoteReference"/>
          <w:rFonts w:ascii="Times New Roman" w:hAnsi="Times New Roman"/>
          <w:noProof/>
          <w:sz w:val="24"/>
        </w:rPr>
        <w:footnoteReference w:id="1"/>
      </w:r>
      <w:r>
        <w:rPr>
          <w:rFonts w:ascii="Times New Roman" w:hAnsi="Times New Roman"/>
          <w:noProof/>
          <w:sz w:val="24"/>
        </w:rPr>
        <w:t xml:space="preserve"> и Директивата относно пазарите на финансови инструменти (ДПФИ II)</w:t>
      </w:r>
      <w:r>
        <w:rPr>
          <w:rStyle w:val="FootnoteReference"/>
          <w:rFonts w:ascii="Times New Roman" w:hAnsi="Times New Roman"/>
          <w:noProof/>
          <w:sz w:val="24"/>
        </w:rPr>
        <w:footnoteReference w:id="2"/>
      </w:r>
      <w:r>
        <w:rPr>
          <w:rFonts w:ascii="Times New Roman" w:hAnsi="Times New Roman"/>
          <w:noProof/>
          <w:sz w:val="24"/>
        </w:rPr>
        <w:t xml:space="preserve"> бяха публикувани в Официален вестник на 12 юни 2014 г., влязоха в сила на 2 юли 2014 г. и се прилагат от 3 януари 2018 г. </w:t>
      </w:r>
    </w:p>
    <w:p>
      <w:pPr>
        <w:jc w:val="both"/>
        <w:rPr>
          <w:rFonts w:ascii="Times New Roman" w:hAnsi="Times New Roman" w:cs="Times New Roman"/>
          <w:noProof/>
          <w:sz w:val="24"/>
          <w:szCs w:val="24"/>
        </w:rPr>
      </w:pPr>
      <w:r>
        <w:rPr>
          <w:rFonts w:ascii="Times New Roman" w:hAnsi="Times New Roman"/>
          <w:noProof/>
          <w:sz w:val="24"/>
        </w:rPr>
        <w:t>С ДПФИ II и РПФИ се въвежда структура на пазара, чието предназначение е да се гарантира, че търговията се осъществява – когато това е целесъобразно – на регулирани платформи и по прозрачен начин с цел ефикасно и справедливо ценообразуване.</w:t>
      </w:r>
    </w:p>
    <w:p>
      <w:pPr>
        <w:jc w:val="both"/>
        <w:rPr>
          <w:rFonts w:ascii="Times New Roman" w:hAnsi="Times New Roman" w:cs="Times New Roman"/>
          <w:noProof/>
          <w:sz w:val="24"/>
          <w:szCs w:val="24"/>
        </w:rPr>
      </w:pPr>
      <w:r>
        <w:rPr>
          <w:rFonts w:ascii="Times New Roman" w:hAnsi="Times New Roman"/>
          <w:noProof/>
          <w:sz w:val="24"/>
        </w:rPr>
        <w:t xml:space="preserve">В тази рамка с РПФИ се предвижда освобождаване от изискванията за прозрачност преди и след сключването на сделка при некапиталовите финансови инструменти при сделките с контрагент член на Европейската система на централните банки (ЕСЦБ), сключени при изпълнението на паричната политика, валутната политика и политиката в областта на финансовата стабилност, която този член на ЕСЦБ е законово оправомощен да следва, когато този член предварително е уведомил своя контрагент, че сделката подлежи на освобождаване. Освен това с РПФИ Комисията се оправомощава да разширява обхвата на това освобождаване спрямо централни банки на трети държави, когато са изпълнени предварителните условия. </w:t>
      </w:r>
    </w:p>
    <w:p>
      <w:pPr>
        <w:jc w:val="both"/>
        <w:rPr>
          <w:rFonts w:ascii="Times New Roman" w:hAnsi="Times New Roman" w:cs="Times New Roman"/>
          <w:noProof/>
          <w:sz w:val="24"/>
          <w:szCs w:val="24"/>
        </w:rPr>
      </w:pPr>
      <w:r>
        <w:rPr>
          <w:rFonts w:ascii="Times New Roman" w:hAnsi="Times New Roman"/>
          <w:noProof/>
          <w:sz w:val="24"/>
        </w:rPr>
        <w:t>По тази причина Европейската комисия възложи на Центъра за европейски политически изследвания (CEPS) и на Болонския университет да проведат външно проучване относно „</w:t>
      </w:r>
      <w:r>
        <w:rPr>
          <w:rFonts w:ascii="Times New Roman" w:hAnsi="Times New Roman" w:cs="Times New Roman"/>
          <w:noProof/>
          <w:sz w:val="24"/>
          <w:szCs w:val="24"/>
        </w:rPr>
        <w:t xml:space="preserve">Освобождаване на централните банки на трети държави и други субекти от изисквания </w:t>
      </w:r>
      <w:r>
        <w:rPr>
          <w:rFonts w:ascii="Times New Roman" w:hAnsi="Times New Roman"/>
          <w:noProof/>
          <w:sz w:val="24"/>
        </w:rPr>
        <w:t>на Регламента относно пазарната злоупотреба (РПЗ) и Регламента относно пазарите на финансови инструменти (РПФИ)“ (по-нататък наричано „проучването“)</w:t>
      </w:r>
      <w:r>
        <w:rPr>
          <w:rStyle w:val="FootnoteReference"/>
          <w:rFonts w:ascii="Times New Roman" w:hAnsi="Times New Roman"/>
          <w:noProof/>
          <w:sz w:val="24"/>
        </w:rPr>
        <w:footnoteReference w:id="3"/>
      </w:r>
      <w:r>
        <w:rPr>
          <w:rFonts w:ascii="Times New Roman" w:hAnsi="Times New Roman"/>
          <w:noProof/>
          <w:sz w:val="24"/>
        </w:rPr>
        <w:t xml:space="preserve">. Проучването бе извършено въз основа на допитване и анализ на документи. В него бяха анализирани разпоредбите за прозрачност преди и след сключването на сделките, които се прилагат, когато централните банки на трети държави търгуват с некапиталови финансови инструменти, както и мащабът на търговията на тези централни банки с такива инструменти в Съюза. </w:t>
      </w:r>
    </w:p>
    <w:p>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 xml:space="preserve">ПРАВНО ОСНОВАНИЕ НА ДОКЛАДА: ЧЛЕН 1, ПАРАГРАФ 9 ОТ РПФИ </w:t>
      </w:r>
    </w:p>
    <w:p>
      <w:pPr>
        <w:jc w:val="both"/>
        <w:rPr>
          <w:rFonts w:ascii="Times New Roman" w:hAnsi="Times New Roman" w:cs="Times New Roman"/>
          <w:noProof/>
          <w:sz w:val="24"/>
          <w:szCs w:val="24"/>
        </w:rPr>
      </w:pPr>
      <w:r>
        <w:rPr>
          <w:rFonts w:ascii="Times New Roman" w:hAnsi="Times New Roman"/>
          <w:noProof/>
          <w:sz w:val="24"/>
        </w:rPr>
        <w:t xml:space="preserve">В член 1, параграф 6 от РПФИ се предвижда освобождаване от правилата за прозрачност преди и след сключването на сделка при сделките с контрагент член на Европейската система на централните банки (ЕСЦБ), сключени при изпълнението на паричната политика, валутната политика и политиката в областта на финансовата стабилност, която този член на ЕСЦБ е законово оправомощен да следва, когато този член предварително е уведомил своя контрагент, че сделката подлежи на освобождаване. </w:t>
      </w:r>
    </w:p>
    <w:p>
      <w:pPr>
        <w:jc w:val="both"/>
        <w:rPr>
          <w:rFonts w:ascii="Times New Roman" w:hAnsi="Times New Roman" w:cs="Times New Roman"/>
          <w:i/>
          <w:noProof/>
          <w:sz w:val="24"/>
          <w:szCs w:val="24"/>
        </w:rPr>
      </w:pPr>
      <w:r>
        <w:rPr>
          <w:rFonts w:ascii="Times New Roman" w:hAnsi="Times New Roman"/>
          <w:noProof/>
          <w:sz w:val="24"/>
        </w:rPr>
        <w:t xml:space="preserve">Освен това с член 1, параграф 9 от РПФИ на Комисията се предоставя правомощието да: </w:t>
      </w:r>
      <w:r>
        <w:rPr>
          <w:rFonts w:ascii="Times New Roman" w:hAnsi="Times New Roman"/>
          <w:i/>
          <w:noProof/>
          <w:sz w:val="24"/>
        </w:rPr>
        <w:t>„[…] приема делегирани актове в съответствие с член 50, за да разшири обхвата на параграф 6 по отношение на други централни банки.</w:t>
      </w:r>
    </w:p>
    <w:p>
      <w:pPr>
        <w:jc w:val="both"/>
        <w:rPr>
          <w:rFonts w:ascii="Times New Roman" w:hAnsi="Times New Roman" w:cs="Times New Roman"/>
          <w:i/>
          <w:noProof/>
          <w:sz w:val="24"/>
          <w:szCs w:val="24"/>
        </w:rPr>
      </w:pPr>
      <w:r>
        <w:rPr>
          <w:rFonts w:ascii="Times New Roman" w:hAnsi="Times New Roman"/>
          <w:i/>
          <w:noProof/>
          <w:sz w:val="24"/>
        </w:rPr>
        <w:t xml:space="preserve">За тази цел, до 1 юни 2015 г. Комисията представя на Европейския парламент и на Съвета доклад за оценка на третирането на сделки на централните банки на трети държави, което за целите на настоящия параграф включва и Банката за международни разплащания. Докладът включва анализ на техните законоустановени задачи и техните търгувани обеми в рамките на Съюза. В доклада: </w:t>
      </w:r>
    </w:p>
    <w:p>
      <w:pPr>
        <w:jc w:val="both"/>
        <w:rPr>
          <w:rFonts w:ascii="Times New Roman" w:hAnsi="Times New Roman" w:cs="Times New Roman"/>
          <w:i/>
          <w:noProof/>
          <w:sz w:val="24"/>
          <w:szCs w:val="24"/>
        </w:rPr>
      </w:pPr>
      <w:r>
        <w:rPr>
          <w:rFonts w:ascii="Times New Roman" w:hAnsi="Times New Roman"/>
          <w:i/>
          <w:noProof/>
          <w:sz w:val="24"/>
        </w:rPr>
        <w:t xml:space="preserve">а) се определят разпоредби, приложими в съответните трети държави, относно регулаторното разкриване на сделки на централни банки, включително сделки, извършени от членовете на ЕСЦБ в тези трети държави, и </w:t>
      </w:r>
    </w:p>
    <w:p>
      <w:pPr>
        <w:jc w:val="both"/>
        <w:rPr>
          <w:rFonts w:ascii="Times New Roman" w:hAnsi="Times New Roman" w:cs="Times New Roman"/>
          <w:i/>
          <w:noProof/>
          <w:sz w:val="24"/>
          <w:szCs w:val="24"/>
        </w:rPr>
      </w:pPr>
      <w:r>
        <w:rPr>
          <w:rFonts w:ascii="Times New Roman" w:hAnsi="Times New Roman"/>
          <w:i/>
          <w:noProof/>
          <w:sz w:val="24"/>
        </w:rPr>
        <w:t xml:space="preserve">б) се оценява потенциалното въздействие, което изискванията за регулаторно разкриване на информация в рамките на Съюза може да окажат върху сделки с централните банки на трети държави. </w:t>
      </w:r>
    </w:p>
    <w:p>
      <w:pPr>
        <w:jc w:val="both"/>
        <w:rPr>
          <w:rFonts w:ascii="Times New Roman" w:hAnsi="Times New Roman" w:cs="Times New Roman"/>
          <w:noProof/>
          <w:sz w:val="24"/>
          <w:szCs w:val="24"/>
        </w:rPr>
      </w:pPr>
      <w:r>
        <w:rPr>
          <w:rFonts w:ascii="Times New Roman" w:hAnsi="Times New Roman"/>
          <w:i/>
          <w:noProof/>
          <w:sz w:val="24"/>
        </w:rPr>
        <w:t xml:space="preserve">Ако в доклада се заключава, че освобождаването, предвидено в съответствие с параграф 6, е необходимо по отношение на сделки, когато контрагентът е централна банка на трета държава, осъществяваща операции в областта на паричната политика, валутната политика и финансовата стабилност, Комисията следи това освобождаване да се прилага към тази централна банка на трета държава.“ </w:t>
      </w:r>
    </w:p>
    <w:p>
      <w:pPr>
        <w:jc w:val="both"/>
        <w:rPr>
          <w:rFonts w:ascii="Times New Roman" w:hAnsi="Times New Roman" w:cs="Times New Roman"/>
          <w:noProof/>
          <w:sz w:val="24"/>
          <w:szCs w:val="24"/>
        </w:rPr>
      </w:pPr>
      <w:r>
        <w:rPr>
          <w:rFonts w:ascii="Times New Roman" w:hAnsi="Times New Roman"/>
          <w:noProof/>
          <w:sz w:val="24"/>
        </w:rPr>
        <w:t>В доклад</w:t>
      </w:r>
      <w:r>
        <w:rPr>
          <w:noProof/>
          <w:sz w:val="24"/>
          <w:vertAlign w:val="superscript"/>
        </w:rPr>
        <w:footnoteReference w:id="4"/>
      </w:r>
      <w:r>
        <w:rPr>
          <w:rFonts w:ascii="Times New Roman" w:hAnsi="Times New Roman"/>
          <w:noProof/>
          <w:sz w:val="24"/>
        </w:rPr>
        <w:t xml:space="preserve">, приет на 9 юни 2017 г., Комисията заключи, че е целесъобразно централните банки на следните трети държави да бъдат освободени по силата на член 1, параграф 9 от РПФИ от предвидените в РПФИ изисквания за прозрачност преди и след сключването на сделките: Австралия, Бразилия, Канада, САР Хонконг, Индия, Япония, Мексико, Сингапур, Република Корея, Швейцария, Турция и Съединените щати, както и Банката за международни разплащания (БМР). С приетия на 14 юни 2017 г. Делегиран регламент (ЕС) 2017/1799 централните банки на горепосочените трети държави бяха по силата на член 1, параграф 9 от РПФИ освободени от предвидените в РПФИ изисквания за прозрачност преди и след сключването на сделките. </w:t>
      </w:r>
    </w:p>
    <w:p>
      <w:pPr>
        <w:jc w:val="both"/>
        <w:rPr>
          <w:rFonts w:ascii="Times New Roman" w:hAnsi="Times New Roman" w:cs="Times New Roman"/>
          <w:noProof/>
          <w:sz w:val="24"/>
          <w:szCs w:val="24"/>
        </w:rPr>
      </w:pPr>
      <w:r>
        <w:rPr>
          <w:rFonts w:ascii="Times New Roman" w:hAnsi="Times New Roman"/>
          <w:noProof/>
          <w:sz w:val="24"/>
        </w:rPr>
        <w:t xml:space="preserve">Успоредно с това Комисията преценява доколко е целесъобразно Английската централна банка да бъде освободена по член 1, параграф 9 от РПФИ от предвидените в РПФИ изисквания за прозрачност преди и след сключването на сделките. По проектодоклада и проекта на делегиран регламент бяха проведени консултации с държавите членки в рамките на експертната група на Европейския комитет по ценни книжа. </w:t>
      </w:r>
    </w:p>
    <w:p>
      <w:pPr>
        <w:jc w:val="both"/>
        <w:rPr>
          <w:rFonts w:ascii="Times New Roman" w:hAnsi="Times New Roman" w:cs="Times New Roman"/>
          <w:noProof/>
          <w:sz w:val="24"/>
          <w:szCs w:val="24"/>
        </w:rPr>
      </w:pPr>
      <w:r>
        <w:rPr>
          <w:rFonts w:ascii="Times New Roman" w:hAnsi="Times New Roman"/>
          <w:noProof/>
          <w:sz w:val="24"/>
        </w:rPr>
        <w:t>Поради статута си на централна банка на държава членка на ЕС, Английската централна банка не бе предмет на горепосочения доклад и делегиран регламент. В контекста обаче на наближаващата промяна на статута на Обединеното кралство — което ще бъде считано за трета държава, е целесъобразно на Европейския парламент и Съвета да се представи по силата на член 1, параграф 9 от РПФИ доклад, в който се анализира целесъобразността от включването на Английската централна банка в освобождаването от обхвата на РПФИ.</w:t>
      </w:r>
    </w:p>
    <w:p>
      <w:pPr>
        <w:pStyle w:val="ListParagraph"/>
        <w:numPr>
          <w:ilvl w:val="0"/>
          <w:numId w:val="1"/>
        </w:numPr>
        <w:rPr>
          <w:rFonts w:ascii="Times New Roman" w:hAnsi="Times New Roman" w:cs="Times New Roman"/>
          <w:b/>
          <w:bCs/>
          <w:noProof/>
          <w:sz w:val="24"/>
          <w:szCs w:val="24"/>
        </w:rPr>
      </w:pPr>
      <w:r>
        <w:rPr>
          <w:rFonts w:ascii="Times New Roman" w:hAnsi="Times New Roman"/>
          <w:b/>
          <w:noProof/>
          <w:sz w:val="24"/>
        </w:rPr>
        <w:t xml:space="preserve">АНАЛИЗ НА ПОЛОЖЕНИЕТО С АНГЛИЙСКАТА ЦЕНТРАЛНА БАНКА </w:t>
      </w:r>
    </w:p>
    <w:p>
      <w:pPr>
        <w:spacing w:after="0"/>
        <w:jc w:val="both"/>
        <w:rPr>
          <w:rFonts w:ascii="Times New Roman" w:hAnsi="Times New Roman" w:cs="Times New Roman"/>
          <w:b/>
          <w:bCs/>
          <w:noProof/>
          <w:sz w:val="24"/>
          <w:szCs w:val="24"/>
        </w:rPr>
      </w:pPr>
      <w:r>
        <w:rPr>
          <w:rFonts w:ascii="Times New Roman" w:hAnsi="Times New Roman"/>
          <w:b/>
          <w:noProof/>
          <w:sz w:val="24"/>
        </w:rPr>
        <w:t>Критерии, използвани при оценката</w:t>
      </w:r>
    </w:p>
    <w:p>
      <w:pPr>
        <w:spacing w:before="60"/>
        <w:jc w:val="both"/>
        <w:rPr>
          <w:rFonts w:ascii="Times New Roman" w:hAnsi="Times New Roman" w:cs="Times New Roman"/>
          <w:noProof/>
          <w:sz w:val="24"/>
          <w:szCs w:val="24"/>
        </w:rPr>
      </w:pPr>
      <w:r>
        <w:rPr>
          <w:rFonts w:ascii="Times New Roman" w:hAnsi="Times New Roman"/>
          <w:noProof/>
          <w:sz w:val="24"/>
        </w:rPr>
        <w:t xml:space="preserve">Предвиденият в член 1, параграф 9 от РПФИ мандат за извършване на анализ на идентифицираните юрисдикции се основава на два основни критерия, които бяха от съществено значение за оценката на Комисията: </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noProof/>
          <w:sz w:val="24"/>
        </w:rPr>
        <w:t>приложимите в съответните трети държави разпоредби, с които се изисква да се оповестяват сделките на централните банки, включително извършваните от член на ЕСЦБ в тези трети държави. Тук се включва режимът за прозрачност на пазара, приложим към сделките на централните банки („прозрачност на пазара“), и/или прозрачността на оперативната рамка на централната банка („оперативна прозрачност“); както и</w:t>
      </w:r>
    </w:p>
    <w:p>
      <w:pPr>
        <w:pStyle w:val="ListParagraph"/>
        <w:numPr>
          <w:ilvl w:val="1"/>
          <w:numId w:val="1"/>
        </w:numPr>
        <w:spacing w:before="60"/>
        <w:ind w:left="426"/>
        <w:jc w:val="both"/>
        <w:rPr>
          <w:rFonts w:ascii="Times New Roman" w:hAnsi="Times New Roman" w:cs="Times New Roman"/>
          <w:noProof/>
          <w:sz w:val="24"/>
          <w:szCs w:val="24"/>
        </w:rPr>
      </w:pPr>
      <w:r>
        <w:rPr>
          <w:rFonts w:ascii="Times New Roman" w:hAnsi="Times New Roman"/>
          <w:noProof/>
          <w:sz w:val="24"/>
        </w:rPr>
        <w:t xml:space="preserve">потенциалното въздействие, което нормативно изискуемото оповестяване на информация в Съюза може да окаже върху сделките с централните банки на трети държави. При това положение се оценява обемът на сделките, които централната банка е сключила с контрагенти от ЕС или при които са използвани финансови инструменти, търгувани на фондов пазар в ЕС. </w:t>
      </w:r>
    </w:p>
    <w:p>
      <w:pPr>
        <w:spacing w:before="60"/>
        <w:jc w:val="both"/>
        <w:rPr>
          <w:rFonts w:ascii="Times New Roman" w:hAnsi="Times New Roman" w:cs="Times New Roman"/>
          <w:noProof/>
          <w:sz w:val="24"/>
          <w:szCs w:val="24"/>
        </w:rPr>
      </w:pPr>
      <w:r>
        <w:rPr>
          <w:rFonts w:ascii="Times New Roman" w:hAnsi="Times New Roman"/>
          <w:noProof/>
          <w:sz w:val="24"/>
        </w:rPr>
        <w:t xml:space="preserve">За целите на оценката беше счетено, че изпълнението на тези два критерия е задължително, тъй като те обхващат факторите, посочени в член 1, параграф 9 от РПФИ. В това отношение понятието „прозрачност на пазара“ се отнася до прозрачността при отделните сделки с ценни книжа, а „оперативна прозрачност“ – до нормите за прозрачност в по-широк аспект, които обвързват операциите на съответната централна банка. Поради това, предвид целите и обхвата на РПФИ, бе счетено, че за да се прецени дали е целесъобразно централните банки на трети държави да бъдат освободени по силата на член 1, параграф 9, буква а) от РПФИ, е необходим анализ на нормативните изисквания за прозрачност на пазара при сделките и за прозрачност при извършване на операциите. От значение е и обемът на сделките между централната банка на съответната трета държава и ЕС, тъй като той е показател за потенциалното въздействие, което изискваното оповестяване на информация в Съюза може, предвид член 1, параграф 9, буква б) от РПФИ, да окаже върху сделките на централните банки на трети държави. </w:t>
      </w:r>
    </w:p>
    <w:p>
      <w:pPr>
        <w:spacing w:before="60"/>
        <w:jc w:val="both"/>
        <w:rPr>
          <w:rFonts w:ascii="Times New Roman" w:hAnsi="Times New Roman" w:cs="Times New Roman"/>
          <w:noProof/>
          <w:sz w:val="24"/>
          <w:szCs w:val="24"/>
        </w:rPr>
      </w:pPr>
      <w:r>
        <w:rPr>
          <w:rFonts w:ascii="Times New Roman" w:hAnsi="Times New Roman"/>
          <w:noProof/>
          <w:sz w:val="24"/>
        </w:rPr>
        <w:t xml:space="preserve">В светлината на изискванията и целите на РПФИ бяха взети предвид и следните критерии: </w:t>
      </w:r>
    </w:p>
    <w:p>
      <w:pPr>
        <w:spacing w:before="60"/>
        <w:ind w:left="567"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 xml:space="preserve">наличието на процедура, с която централната банка на третата държава уведомява своя контрагент от ЕС, че сделката е освободена; </w:t>
      </w:r>
    </w:p>
    <w:p>
      <w:pPr>
        <w:spacing w:before="60"/>
        <w:ind w:left="567" w:hanging="567"/>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 xml:space="preserve">капацитетът на централната банка на третата държава да разграничава сделките, сключвани с оглед на ключовите политики по РПФИ, от тези, сключвани с оглед на „чисто“ инвестиционни цели; както и </w:t>
      </w:r>
    </w:p>
    <w:p>
      <w:pPr>
        <w:spacing w:before="60"/>
        <w:ind w:left="567" w:hanging="567"/>
        <w:jc w:val="both"/>
        <w:rPr>
          <w:rFonts w:ascii="Times New Roman" w:hAnsi="Times New Roman" w:cs="Times New Roman"/>
          <w:noProof/>
          <w:sz w:val="24"/>
          <w:szCs w:val="24"/>
        </w:rPr>
      </w:pPr>
      <w:r>
        <w:rPr>
          <w:rFonts w:ascii="Times New Roman" w:hAnsi="Times New Roman"/>
          <w:noProof/>
          <w:sz w:val="24"/>
        </w:rPr>
        <w:t xml:space="preserve">iii) </w:t>
      </w:r>
      <w:r>
        <w:rPr>
          <w:noProof/>
        </w:rPr>
        <w:tab/>
      </w:r>
      <w:r>
        <w:rPr>
          <w:rFonts w:ascii="Times New Roman" w:hAnsi="Times New Roman"/>
          <w:noProof/>
          <w:sz w:val="24"/>
        </w:rPr>
        <w:t>наличието на сходно освобождаване в разглежданата юрисдикция за централните банки на трети държави.</w:t>
      </w:r>
    </w:p>
    <w:p>
      <w:pPr>
        <w:spacing w:before="60"/>
        <w:jc w:val="both"/>
        <w:rPr>
          <w:rFonts w:ascii="Times New Roman" w:hAnsi="Times New Roman" w:cs="Times New Roman"/>
          <w:noProof/>
          <w:sz w:val="24"/>
          <w:szCs w:val="24"/>
        </w:rPr>
      </w:pPr>
      <w:r>
        <w:rPr>
          <w:rFonts w:ascii="Times New Roman" w:hAnsi="Times New Roman"/>
          <w:noProof/>
          <w:sz w:val="24"/>
        </w:rPr>
        <w:t>Горепосочените допълнителни критерии са оценени предвид изискванията и целите на РПФИ. По-специално, при оценяването бе разгледан въпросът дали централната банка на трета държава е въвела процедура, с която да уведомява контрагента си от ЕС, че дадена сделка е освободена. Освобождаванията по член 1, параграф 6 от РПФИ не могат да се предоставят на централни банки, когато извършват операции с чисто инвестиционни цели. Затова в проучването бе проверено дали централните банки на третите държави разграничават сделките, сключвани с оглед на нормативните изисквания, от тези, сключвани с инвестиционни цели. Накрая, с оглед на отражението на изискванията за оповестяване на информация върху пазара и евентуално — върху ефективността на паричната политика, бе анализирано и наличието на законово установено освобождаване за централните банки, които търгуват на места на търговия в трети държави.</w:t>
      </w:r>
    </w:p>
    <w:p>
      <w:pPr>
        <w:spacing w:before="60"/>
        <w:jc w:val="both"/>
        <w:rPr>
          <w:rFonts w:ascii="Times New Roman" w:hAnsi="Times New Roman" w:cs="Times New Roman"/>
          <w:noProof/>
          <w:sz w:val="24"/>
          <w:szCs w:val="24"/>
        </w:rPr>
      </w:pPr>
      <w:r>
        <w:rPr>
          <w:rFonts w:ascii="Times New Roman" w:hAnsi="Times New Roman"/>
          <w:noProof/>
          <w:sz w:val="24"/>
        </w:rPr>
        <w:t xml:space="preserve">За подробно описание на критериите вж. проучването на CEPS. </w:t>
      </w:r>
    </w:p>
    <w:p>
      <w:pPr>
        <w:spacing w:after="0"/>
        <w:jc w:val="both"/>
        <w:rPr>
          <w:rFonts w:ascii="Times New Roman" w:hAnsi="Times New Roman" w:cs="Times New Roman"/>
          <w:b/>
          <w:bCs/>
          <w:noProof/>
          <w:sz w:val="24"/>
          <w:szCs w:val="24"/>
        </w:rPr>
      </w:pPr>
      <w:bookmarkStart w:id="2" w:name="_Toc413169301"/>
      <w:bookmarkStart w:id="3" w:name="_Toc412950561"/>
      <w:bookmarkStart w:id="4" w:name="_Toc412947399"/>
      <w:bookmarkStart w:id="5" w:name="_Toc412933595"/>
      <w:bookmarkStart w:id="6" w:name="_Toc412835395"/>
      <w:bookmarkStart w:id="7" w:name="_Toc418165659"/>
      <w:r>
        <w:rPr>
          <w:rFonts w:ascii="Times New Roman" w:hAnsi="Times New Roman"/>
          <w:b/>
          <w:noProof/>
          <w:sz w:val="24"/>
        </w:rPr>
        <w:t>Обобщение на анализа за</w:t>
      </w:r>
      <w:bookmarkEnd w:id="2"/>
      <w:bookmarkEnd w:id="3"/>
      <w:bookmarkEnd w:id="4"/>
      <w:bookmarkEnd w:id="5"/>
      <w:bookmarkEnd w:id="6"/>
      <w:bookmarkEnd w:id="7"/>
      <w:r>
        <w:rPr>
          <w:rFonts w:ascii="Times New Roman" w:hAnsi="Times New Roman"/>
          <w:b/>
          <w:noProof/>
          <w:sz w:val="24"/>
        </w:rPr>
        <w:t xml:space="preserve"> Английската централна банка</w:t>
      </w:r>
    </w:p>
    <w:p>
      <w:pPr>
        <w:spacing w:before="60"/>
        <w:jc w:val="both"/>
        <w:rPr>
          <w:rFonts w:ascii="Times New Roman" w:hAnsi="Times New Roman" w:cs="Times New Roman"/>
          <w:noProof/>
          <w:sz w:val="24"/>
          <w:szCs w:val="24"/>
        </w:rPr>
      </w:pPr>
      <w:r>
        <w:rPr>
          <w:rFonts w:ascii="Times" w:hAnsi="Times"/>
          <w:noProof/>
          <w:sz w:val="24"/>
        </w:rPr>
        <w:t>Комисията заключи, че</w:t>
      </w:r>
      <w:r>
        <w:rPr>
          <w:noProof/>
        </w:rPr>
        <w:t xml:space="preserve"> </w:t>
      </w:r>
      <w:r>
        <w:rPr>
          <w:rFonts w:ascii="Times" w:hAnsi="Times"/>
          <w:noProof/>
          <w:sz w:val="24"/>
        </w:rPr>
        <w:t>Английската централна банка разполага с нормативна уредба, която осигурява</w:t>
      </w:r>
      <w:r>
        <w:rPr>
          <w:rFonts w:ascii="Times New Roman" w:hAnsi="Times New Roman"/>
          <w:noProof/>
          <w:sz w:val="24"/>
        </w:rPr>
        <w:t xml:space="preserve"> необходимата прозрачност.</w:t>
      </w:r>
      <w:r>
        <w:rPr>
          <w:rStyle w:val="FootnoteReference"/>
          <w:rFonts w:ascii="Times New Roman" w:hAnsi="Times New Roman"/>
          <w:noProof/>
          <w:sz w:val="24"/>
        </w:rPr>
        <w:footnoteReference w:id="5"/>
      </w:r>
      <w:r>
        <w:rPr>
          <w:rFonts w:ascii="Times New Roman" w:hAnsi="Times New Roman"/>
          <w:noProof/>
          <w:sz w:val="24"/>
        </w:rPr>
        <w:t xml:space="preserve">. Освен това обемът на инициираното от Обединеното кралство търгуване в ЕС е достатъчно голям, за да оправдае освобождаването на Английската централна банка от изискванията за прозрачност преди и след сключването на сделките. </w:t>
      </w:r>
    </w:p>
    <w:p>
      <w:pPr>
        <w:spacing w:before="60"/>
        <w:jc w:val="both"/>
        <w:rPr>
          <w:rFonts w:ascii="Times New Roman" w:hAnsi="Times New Roman" w:cs="Times New Roman"/>
          <w:noProof/>
          <w:sz w:val="24"/>
          <w:szCs w:val="24"/>
        </w:rPr>
      </w:pPr>
      <w:r>
        <w:rPr>
          <w:rFonts w:ascii="Times New Roman" w:hAnsi="Times New Roman"/>
          <w:noProof/>
          <w:sz w:val="24"/>
        </w:rPr>
        <w:t>По-долу е обобщен накратко анализът на Английската централна банка по горепосочените критерии.</w:t>
      </w:r>
    </w:p>
    <w:p>
      <w:pPr>
        <w:spacing w:after="0"/>
        <w:jc w:val="both"/>
        <w:rPr>
          <w:rFonts w:ascii="Times New Roman" w:hAnsi="Times New Roman" w:cs="Times New Roman"/>
          <w:i/>
          <w:noProof/>
          <w:sz w:val="24"/>
          <w:szCs w:val="24"/>
        </w:rPr>
      </w:pPr>
      <w:r>
        <w:rPr>
          <w:rFonts w:ascii="Times New Roman" w:hAnsi="Times New Roman"/>
          <w:i/>
          <w:noProof/>
          <w:sz w:val="24"/>
        </w:rPr>
        <w:t>Основни критерии</w:t>
      </w:r>
    </w:p>
    <w:p>
      <w:pPr>
        <w:spacing w:before="60"/>
        <w:jc w:val="both"/>
        <w:rPr>
          <w:rFonts w:ascii="Times New Roman" w:hAnsi="Times New Roman" w:cs="Times New Roman"/>
          <w:noProof/>
          <w:sz w:val="24"/>
          <w:szCs w:val="24"/>
        </w:rPr>
      </w:pPr>
      <w:r>
        <w:rPr>
          <w:rFonts w:ascii="Times New Roman" w:hAnsi="Times New Roman"/>
          <w:noProof/>
          <w:sz w:val="24"/>
        </w:rPr>
        <w:t>Що се отнася до оперативната прозрачност, Английската централна банка предоставя информация за позициите в своя счетоводен баланс, обявява ежедневно операциите си на открития пазар и предоставя чрез услуги за новини по електронен път</w:t>
      </w:r>
      <w:r>
        <w:rPr>
          <w:rStyle w:val="FootnoteReference"/>
          <w:rFonts w:ascii="Times New Roman" w:hAnsi="Times New Roman"/>
          <w:noProof/>
          <w:sz w:val="24"/>
        </w:rPr>
        <w:footnoteReference w:id="6"/>
      </w:r>
      <w:r>
        <w:rPr>
          <w:rFonts w:ascii="Times New Roman" w:hAnsi="Times New Roman"/>
          <w:noProof/>
          <w:sz w:val="24"/>
        </w:rPr>
        <w:t xml:space="preserve"> обобщена информация за своите сделки след сключването им. </w:t>
      </w:r>
    </w:p>
    <w:p>
      <w:pPr>
        <w:spacing w:before="60"/>
        <w:jc w:val="both"/>
        <w:rPr>
          <w:rFonts w:ascii="Times New Roman" w:hAnsi="Times New Roman" w:cs="Times New Roman"/>
          <w:noProof/>
          <w:sz w:val="24"/>
          <w:szCs w:val="24"/>
        </w:rPr>
      </w:pPr>
      <w:r>
        <w:rPr>
          <w:rFonts w:ascii="Times New Roman" w:hAnsi="Times New Roman"/>
          <w:noProof/>
          <w:sz w:val="24"/>
        </w:rPr>
        <w:t xml:space="preserve">Европейската комисия получи данни за извършваното от Английската централна банка търгуване на финансовите пазари на ЕС и с контрагенти от ЕС. Търгуваните обеми на Английската централна банка с контрагенти от ЕС са значителни. </w:t>
      </w:r>
    </w:p>
    <w:p>
      <w:pPr>
        <w:spacing w:after="0"/>
        <w:jc w:val="both"/>
        <w:rPr>
          <w:rFonts w:ascii="Times New Roman" w:hAnsi="Times New Roman" w:cs="Times New Roman"/>
          <w:i/>
          <w:noProof/>
          <w:sz w:val="24"/>
          <w:szCs w:val="24"/>
        </w:rPr>
      </w:pPr>
      <w:r>
        <w:rPr>
          <w:rFonts w:ascii="Times New Roman" w:hAnsi="Times New Roman"/>
          <w:i/>
          <w:noProof/>
          <w:sz w:val="24"/>
        </w:rPr>
        <w:t>Допълнителни критерии</w:t>
      </w:r>
    </w:p>
    <w:p>
      <w:pPr>
        <w:spacing w:before="60"/>
        <w:jc w:val="both"/>
        <w:rPr>
          <w:rFonts w:ascii="Times New Roman" w:hAnsi="Times New Roman" w:cs="Times New Roman"/>
          <w:noProof/>
          <w:sz w:val="24"/>
          <w:szCs w:val="24"/>
        </w:rPr>
      </w:pPr>
      <w:r>
        <w:rPr>
          <w:rFonts w:ascii="Times New Roman" w:hAnsi="Times New Roman"/>
          <w:noProof/>
          <w:sz w:val="24"/>
        </w:rPr>
        <w:t>Чуждестранните централни банки, търгуващи в Обединеното кралство, са освободени от изискванията за прозрачност.</w:t>
      </w:r>
    </w:p>
    <w:p>
      <w:pPr>
        <w:spacing w:before="60"/>
        <w:jc w:val="both"/>
        <w:rPr>
          <w:rFonts w:ascii="Times New Roman" w:hAnsi="Times New Roman" w:cs="Times New Roman"/>
          <w:noProof/>
          <w:sz w:val="24"/>
          <w:szCs w:val="24"/>
        </w:rPr>
      </w:pPr>
      <w:r>
        <w:rPr>
          <w:rFonts w:ascii="Times New Roman" w:hAnsi="Times New Roman"/>
          <w:noProof/>
          <w:sz w:val="24"/>
        </w:rPr>
        <w:t>Английската централна банка може да разграничава сделките за целите на паричната политика и сделките с други цели (по-специално с „инвестиционни“ цели), които имат незначителна роля.</w:t>
      </w:r>
    </w:p>
    <w:p>
      <w:pPr>
        <w:spacing w:before="60"/>
        <w:jc w:val="both"/>
        <w:rPr>
          <w:rFonts w:ascii="Times New Roman" w:hAnsi="Times New Roman" w:cs="Times New Roman"/>
          <w:noProof/>
          <w:sz w:val="24"/>
          <w:szCs w:val="24"/>
        </w:rPr>
      </w:pPr>
      <w:r>
        <w:rPr>
          <w:rFonts w:ascii="Times New Roman" w:hAnsi="Times New Roman"/>
          <w:noProof/>
          <w:sz w:val="24"/>
        </w:rPr>
        <w:t>Въведена е процедура за уведомяване на контрагентите от ЕС, че изискванията за прозрачност не се прилагат за сделките.</w:t>
      </w:r>
    </w:p>
    <w:p>
      <w:pPr>
        <w:pStyle w:val="Caption"/>
        <w:keepNext/>
        <w:rPr>
          <w:rFonts w:ascii="Times New Roman" w:hAnsi="Times New Roman" w:cs="Times New Roman"/>
          <w:b/>
          <w:noProof/>
        </w:rPr>
      </w:pPr>
      <w:r>
        <w:rPr>
          <w:rFonts w:ascii="Times New Roman" w:hAnsi="Times New Roman"/>
          <w:b/>
          <w:i w:val="0"/>
          <w:noProof/>
          <w:color w:val="auto"/>
          <w:sz w:val="22"/>
        </w:rPr>
        <w:t>Обзор на критериите</w:t>
      </w:r>
    </w:p>
    <w:tbl>
      <w:tblPr>
        <w:tblW w:w="8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3596"/>
      </w:tblGrid>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Основни критерии</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Прозрачност на пазара</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Голяма</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Оперативна прозрачност</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Голяма</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Необходимост</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Да</w:t>
            </w:r>
          </w:p>
        </w:tc>
      </w:tr>
      <w:tr>
        <w:trPr>
          <w:trHeight w:val="502"/>
        </w:trPr>
        <w:tc>
          <w:tcPr>
            <w:tcW w:w="1701" w:type="dxa"/>
            <w:vMerge w:val="restart"/>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Други критерии</w:t>
            </w: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Разграничаване между целите на сделките</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Да</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Процедура за уведомяване</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Да</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Освобождаване на чуждестранни ЦБ</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[Да]</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Вид на изпълнението</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Двустранно (50—100 %) Места (10—50 %)</w:t>
            </w:r>
          </w:p>
        </w:tc>
      </w:tr>
      <w:tr>
        <w:trPr>
          <w:trHeight w:val="502"/>
        </w:trPr>
        <w:tc>
          <w:tcPr>
            <w:tcW w:w="1701" w:type="dxa"/>
            <w:vMerge/>
            <w:vAlign w:val="center"/>
            <w:hideMark/>
          </w:tcPr>
          <w:p>
            <w:pPr>
              <w:spacing w:after="0" w:line="240" w:lineRule="auto"/>
              <w:rPr>
                <w:rFonts w:ascii="Times New Roman" w:eastAsia="Times New Roman" w:hAnsi="Times New Roman" w:cs="Times New Roman"/>
                <w:b/>
                <w:bCs/>
                <w:noProof/>
                <w:color w:val="000000"/>
                <w:sz w:val="18"/>
                <w:szCs w:val="18"/>
              </w:rPr>
            </w:pPr>
          </w:p>
        </w:tc>
        <w:tc>
          <w:tcPr>
            <w:tcW w:w="3402" w:type="dxa"/>
            <w:shd w:val="clear" w:color="auto" w:fill="auto"/>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Освобождаване</w:t>
            </w:r>
          </w:p>
        </w:tc>
        <w:tc>
          <w:tcPr>
            <w:tcW w:w="3596" w:type="dxa"/>
            <w:shd w:val="clear" w:color="auto" w:fill="auto"/>
            <w:vAlign w:val="center"/>
            <w:hideMark/>
          </w:tcPr>
          <w:p>
            <w:pPr>
              <w:spacing w:after="0" w:line="240" w:lineRule="auto"/>
              <w:jc w:val="center"/>
              <w:rPr>
                <w:rFonts w:ascii="Times New Roman" w:eastAsia="Times New Roman" w:hAnsi="Times New Roman" w:cs="Times New Roman"/>
                <w:noProof/>
                <w:color w:val="000000"/>
                <w:sz w:val="18"/>
                <w:szCs w:val="18"/>
              </w:rPr>
            </w:pPr>
            <w:r>
              <w:rPr>
                <w:rFonts w:ascii="Times New Roman" w:hAnsi="Times New Roman"/>
                <w:noProof/>
                <w:color w:val="000000"/>
                <w:sz w:val="18"/>
              </w:rPr>
              <w:t>Да</w:t>
            </w:r>
          </w:p>
        </w:tc>
      </w:tr>
    </w:tbl>
    <w:p>
      <w:pPr>
        <w:spacing w:after="0"/>
        <w:jc w:val="both"/>
        <w:rPr>
          <w:rFonts w:ascii="Times New Roman" w:hAnsi="Times New Roman" w:cs="Times New Roman"/>
          <w:noProof/>
          <w:sz w:val="24"/>
          <w:szCs w:val="24"/>
        </w:rPr>
      </w:pPr>
    </w:p>
    <w:p>
      <w:pPr>
        <w:pStyle w:val="ListParagraph"/>
        <w:numPr>
          <w:ilvl w:val="0"/>
          <w:numId w:val="1"/>
        </w:numPr>
        <w:jc w:val="both"/>
        <w:rPr>
          <w:rFonts w:ascii="Times New Roman" w:hAnsi="Times New Roman" w:cs="Times New Roman"/>
          <w:b/>
          <w:noProof/>
          <w:sz w:val="24"/>
          <w:szCs w:val="24"/>
        </w:rPr>
      </w:pPr>
      <w:r>
        <w:rPr>
          <w:rFonts w:ascii="Times New Roman" w:hAnsi="Times New Roman"/>
          <w:b/>
          <w:noProof/>
          <w:sz w:val="24"/>
        </w:rPr>
        <w:t>ЗАКЛЮЧЕНИЯ</w:t>
      </w:r>
    </w:p>
    <w:p>
      <w:pPr>
        <w:jc w:val="both"/>
        <w:rPr>
          <w:rFonts w:ascii="Times New Roman" w:hAnsi="Times New Roman" w:cs="Times New Roman"/>
          <w:noProof/>
          <w:sz w:val="24"/>
          <w:szCs w:val="24"/>
        </w:rPr>
      </w:pPr>
      <w:r>
        <w:rPr>
          <w:rFonts w:ascii="Times New Roman" w:hAnsi="Times New Roman"/>
          <w:noProof/>
          <w:sz w:val="24"/>
        </w:rPr>
        <w:t>Въз основа на получената информация Комисията заключава, че е целесъобразно Английската централна банка да бъде по силата на член 1, параграф 9 от РПФИ освободена от предвидените в РПФИ изисквания за прозрачност преди и след сключването на сделките.</w:t>
      </w:r>
    </w:p>
    <w:p>
      <w:pPr>
        <w:jc w:val="both"/>
        <w:rPr>
          <w:rFonts w:ascii="Times New Roman" w:hAnsi="Times New Roman" w:cs="Times New Roman"/>
          <w:noProof/>
          <w:sz w:val="24"/>
          <w:szCs w:val="24"/>
        </w:rPr>
      </w:pPr>
      <w:r>
        <w:rPr>
          <w:rFonts w:ascii="Times New Roman" w:hAnsi="Times New Roman"/>
          <w:noProof/>
          <w:sz w:val="24"/>
        </w:rPr>
        <w:t>Това заключение не засяга евентуалните промени в бъдеще въз основа на нови данни, предоставени от Английската централна банка, промени в законодателството на Обединеното кралство или промени във фактическите обстоятелства. Вследствие на такива събития може да възникне нужда от преразглеждане на списъка на освободените централни банки на трети държави.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61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600/2014 на Европейския парламент и на Съвета от 15 май 2014 г. относно пазарите на финансови инструменти и за изменение на Регламент (ЕС) № 648/2012 (OB L 173, 12.6.2014 г., стр. 84).</w:t>
      </w: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(OB L 173, 12.6.2014 г., стр. 349).</w:t>
      </w:r>
    </w:p>
  </w:footnote>
  <w:footnote w:id="3">
    <w:p>
      <w:pPr>
        <w:pStyle w:val="FootnoteText"/>
        <w:jc w:val="both"/>
      </w:pPr>
      <w:r>
        <w:rPr>
          <w:rStyle w:val="FootnoteReference"/>
        </w:rPr>
        <w:footnoteRef/>
      </w:r>
      <w:r>
        <w:t xml:space="preserve"> </w:t>
      </w:r>
      <w:r>
        <w:rPr>
          <w:rFonts w:ascii="Times New Roman" w:hAnsi="Times New Roman"/>
        </w:rPr>
        <w:t>https://www.ceps.eu/publications/study-exemptions-third-country-central-banks-and-debt-management-offices-under-mifir</w:t>
      </w:r>
    </w:p>
  </w:footnote>
  <w:footnote w:id="4">
    <w:p>
      <w:pPr>
        <w:pStyle w:val="FootnoteText"/>
        <w:jc w:val="both"/>
      </w:pPr>
      <w:r>
        <w:rPr>
          <w:rStyle w:val="FootnoteReference"/>
        </w:rPr>
        <w:footnoteRef/>
      </w:r>
      <w:r>
        <w:t xml:space="preserve"> </w:t>
      </w:r>
      <w:r>
        <w:rPr>
          <w:rFonts w:ascii="Times New Roman" w:hAnsi="Times New Roman"/>
        </w:rPr>
        <w:t>COM(2017) 298 final.</w:t>
      </w:r>
    </w:p>
  </w:footnote>
  <w:footnote w:id="5">
    <w:p>
      <w:pPr>
        <w:pStyle w:val="FootnoteText"/>
        <w:jc w:val="both"/>
      </w:pPr>
      <w:r>
        <w:rPr>
          <w:rStyle w:val="FootnoteReference"/>
          <w:rFonts w:ascii="Times New Roman" w:hAnsi="Times New Roman"/>
        </w:rPr>
        <w:footnoteRef/>
      </w:r>
      <w:r>
        <w:rPr>
          <w:rFonts w:ascii="Times New Roman" w:hAnsi="Times New Roman"/>
        </w:rPr>
        <w:t xml:space="preserve"> Целта на настоящия доклад не е да се оцени дали горепосочената юрисдикция е въвела правила за прозрачност при сделките, които може да се считат за равностойни на предвидените в РПФИ. Заключенията в настоящия доклад нямат отношение към подобна оценка. </w:t>
      </w:r>
    </w:p>
  </w:footnote>
  <w:footnote w:id="6">
    <w:p>
      <w:pPr>
        <w:pStyle w:val="FootnoteText"/>
        <w:jc w:val="both"/>
        <w:rPr>
          <w:lang w:val="fr-BE"/>
        </w:rPr>
      </w:pPr>
      <w:r>
        <w:rPr>
          <w:rStyle w:val="FootnoteReference"/>
        </w:rPr>
        <w:footnoteRef/>
      </w:r>
      <w:r>
        <w:t xml:space="preserve"> </w:t>
      </w:r>
      <w:r>
        <w:rPr>
          <w:rFonts w:ascii="Times New Roman" w:hAnsi="Times New Roman"/>
        </w:rPr>
        <w:t>От юни 2006 г. Английската централна банка публикува „Data in Official Rates and Ranges by Maintenance Period“ и „Sterling Monetary Framework assets and liabilities by Maintenance Period“. От май 2006 г. Английската централна банка публикува „Daily data in Daily Flows — Open Market Operations by Maintenance Period“. Английската централна банка публикува ежеседмично „Data in Bank of England Asset Purchase Facility“, като от февруари 2009 г. до 16 септември 2016 г. данните са публикувани към края на работния ден в четвъртък, а от 22 септември 2016 г. — към края на работния ден в сряда. От септември 2016 г. Английската централна банка публикува „Data in Bank of England Asset Purchase Facility — Term Funding Scheme“. Публикуването на данните обикновено се извършва в интерактивната база данни в понеделник след решение на комитета по парична политика, както и на 21-ия работен ден на всеки календарен месец. Данните за „Bank of England Asset Purchase Facility“ и „Bank of England Asset Purchase Facility — Term Funding Scheme“ се актуализират ежеседмично. Всяко тримесечие се публикуват данни за „Bank of England Discount Window Facility“. Наличните данни не са съобразени със сезонните колебания.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E3F98"/>
    <w:multiLevelType w:val="hybridMultilevel"/>
    <w:tmpl w:val="59AC6EE2"/>
    <w:lvl w:ilvl="0" w:tplc="E3888B34">
      <w:start w:val="1"/>
      <w:numFmt w:val="decimal"/>
      <w:lvlText w:val="%1."/>
      <w:lvlJc w:val="left"/>
      <w:pPr>
        <w:ind w:left="720" w:hanging="360"/>
      </w:pPr>
      <w:rPr>
        <w:rFonts w:hint="default"/>
      </w:rPr>
    </w:lvl>
    <w:lvl w:ilvl="1" w:tplc="77325A0E">
      <w:start w:val="1"/>
      <mc:AlternateContent>
        <mc:Choice Requires="w14">
          <w:numFmt w:val="custom" w:format="а, й, к, ..."/>
        </mc:Choice>
        <mc:Fallback>
          <w:numFmt w:val="decimal"/>
        </mc:Fallback>
      </mc:AlternateContent>
      <w:lvlText w:val="%2."/>
      <w:lvlJc w:val="left"/>
      <w:pPr>
        <w:ind w:left="1440" w:hanging="36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3262338-9AC4-4EF2-AD99-FA2DBB765DCA"/>
    <w:docVar w:name="LW_COVERPAGE_TYPE" w:val="1"/>
    <w:docVar w:name="LW_CROSSREFERENCE" w:val="&lt;UNUSED&gt;"/>
    <w:docVar w:name="LW_DocType" w:val="NORMAL"/>
    <w:docVar w:name="LW_EMISSION" w:val="30.1.2019"/>
    <w:docVar w:name="LW_EMISSION_ISODATE" w:val="2019-01-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4?\u1089?\u1074?\u1086?\u1073?\u1086?\u1078?\u1076?\u1072?\u1074?\u1072?\u1085?\u1077? \u1085?\u1072? \u1094?\u1077?\u1085?\u1090?\u1088?\u1072?\u1083?\u1085?\u1072?\u1090?\u1072? \u1073?\u1072?\u1085?\u1082?\u1072? \u1085?\u1072? \u1054?\u1073?\u1077?\u1076?\u1080?\u1085?\u1077?\u1085?\u1086?\u1090?\u1086? \u1082?\u1088?\u1072?\u1083?\u1089?\u1090?\u1074?\u1086? (\u8222?\u1040?\u1085?\u1075?\u1083?\u1080?\u1081?\u1089?\u1082?\u1072?\u1090?\u1072? \u1094?\u1077?\u1085?\u1090?\u1088?\u1072?\u1083?\u1085?\u1072? \u1073?\u1072?\u1085?\u1082?\u1072?\u8220?) \u1089?\u1098?\u1075?\u1083?\u1072?\u1089?\u1085?\u1086? \u1056?\u1077?\u1075?\u1083?\u1072?\u1084?\u1077?\u1085?\u1090?\u1072? \u1086?\u1090?\u1085?\u1086?\u1089?\u1085?\u1086? \u1087?\u1072?\u1079?\u1072?\u1088?\u1080?\u1090?\u1077? \u1085?\u1072? \u1092?\u1080?\u1085?\u1072?\u1085?\u1089?\u1086?\u1074?\u1080? \u1080?\u1085?\u1089?\u1090?\u1088?\u1091?\u1084?\u1077?\u1085?\u1090?\u1080? (\u1056?\u1055?\u1060?\u1048?)_x000d__x000d__x000d__x000d__x000d__x000d_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67B505-FD6C-413B-B4D8-72F79883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1680</Words>
  <Characters>9750</Characters>
  <Application>Microsoft Office Word</Application>
  <DocSecurity>0</DocSecurity>
  <Lines>195</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25</cp:revision>
  <cp:lastPrinted>2018-10-11T07:04:00Z</cp:lastPrinted>
  <dcterms:created xsi:type="dcterms:W3CDTF">2019-01-25T11:22:00Z</dcterms:created>
  <dcterms:modified xsi:type="dcterms:W3CDTF">2019-01-29T17:59:00Z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