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396B856-D785-4CFC-912B-5806E02F58CE"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color w:val="000000"/>
          <w:bdr w:val="none" w:sz="0" w:space="0" w:color="auto" w:frame="1"/>
        </w:rPr>
      </w:pPr>
      <w:r>
        <w:rPr>
          <w:noProof/>
        </w:rPr>
        <w:t>1.</w:t>
      </w:r>
      <w:r>
        <w:rPr>
          <w:noProof/>
        </w:rPr>
        <w:tab/>
        <w:t>КОНТЕКСТ НА ПРЕДЛОЖЕНИЕТО</w:t>
      </w:r>
    </w:p>
    <w:p>
      <w:pPr>
        <w:pStyle w:val="ManualHeading2"/>
        <w:rPr>
          <w:rFonts w:eastAsia="Arial Unicode MS"/>
          <w:noProof/>
        </w:rPr>
      </w:pPr>
      <w:r>
        <w:rPr>
          <w:noProof/>
          <w:color w:val="000000"/>
          <w:bdr w:val="none" w:sz="0" w:space="0" w:color="auto" w:frame="1"/>
        </w:rPr>
        <w:t>•</w:t>
      </w:r>
      <w:r>
        <w:rPr>
          <w:noProof/>
        </w:rPr>
        <w:tab/>
        <w:t>Основания и цели на предложението</w:t>
      </w:r>
    </w:p>
    <w:p>
      <w:pPr>
        <w:spacing w:before="0" w:after="240"/>
        <w:rPr>
          <w:noProof/>
        </w:rPr>
      </w:pPr>
      <w:r>
        <w:rPr>
          <w:noProof/>
        </w:rPr>
        <w:t>В съответствие с член 5 от Протокола за интегриране на достиженията на правото от Шенген в рамките на Европейския съюз, приложен към Договора за Европейския съюз и към Договора за създаване на Европейската общност, и член 8, параграф 2 от 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w:t>
      </w:r>
      <w:r>
        <w:rPr>
          <w:rStyle w:val="FootnoteReference"/>
          <w:noProof/>
        </w:rPr>
        <w:footnoteReference w:id="1"/>
      </w:r>
      <w:r>
        <w:rPr>
          <w:noProof/>
        </w:rPr>
        <w:t xml:space="preserve"> Обединеното кралство участваше в Регламент (ЕО) № 377/2004 на Съвета от 19 февруари 2004 г. за създаване на мрежа от служители за връзка по въпросите на имиграцията, изменен с Регламент (ЕС) № 493/2011 на Европейския парламент и на Съвета от 5 април 2011 г. </w:t>
      </w:r>
    </w:p>
    <w:p>
      <w:pPr>
        <w:spacing w:before="0" w:after="240"/>
        <w:rPr>
          <w:noProof/>
        </w:rPr>
      </w:pPr>
      <w:r>
        <w:rPr>
          <w:noProof/>
        </w:rPr>
        <w:t>На 16 май 2018 г. Комисията предложи допълнително изменение на Регламент № 377/2004 под формата на преработен текст</w:t>
      </w:r>
      <w:r>
        <w:rPr>
          <w:rStyle w:val="FootnoteReference"/>
          <w:noProof/>
        </w:rPr>
        <w:footnoteReference w:id="2"/>
      </w:r>
      <w:r>
        <w:rPr>
          <w:noProof/>
        </w:rPr>
        <w:t>. Това предложение бе получено от Съвета на всички изисквани езици на 2 юли 2018 г.</w:t>
      </w:r>
    </w:p>
    <w:p>
      <w:pPr>
        <w:spacing w:before="0" w:after="240"/>
        <w:rPr>
          <w:noProof/>
        </w:rPr>
      </w:pPr>
      <w:r>
        <w:rPr>
          <w:noProof/>
        </w:rPr>
        <w:t xml:space="preserve">На 1 октомври 2018 г., в съответствие с процедурата, установена в член 5, параграф 2 от Протокол (№ 19) относно достиженията на правото от Шенген, включени в рамките на Европейския съюз, приложен към Договора за Европейския съюз и към Договора за функционирането на Европейския съюз, Обединеното кралство нотифицира председателя на Съвета за желанието си да не участва в предложението за преработен текст от 16 май 2018 г. Вследствие на това Обединеното кралство вече не участва в приемането на посоченото предложение. </w:t>
      </w:r>
    </w:p>
    <w:p>
      <w:pPr>
        <w:spacing w:before="0" w:after="240"/>
        <w:rPr>
          <w:noProof/>
        </w:rPr>
      </w:pPr>
      <w:r>
        <w:rPr>
          <w:noProof/>
        </w:rPr>
        <w:t>С оглед на факта, че мрежовият характер на мрежата на служителите за връзка по въпросите на имиграцията не позволява на държава членка да остане част от тази мрежа, когато измененото законодателство за създаване на мрежата не се прилага за тази държава членка, друга последица от посочената по-горе нотификация ще бъде това, че Обединеното кралство ще престане да участва в мрежата на служителите за връзка по въпросите на имиграцията, считано от датата на влизане в сила на предложението за преработен текст, отнасящо се до тази мрежа.</w:t>
      </w:r>
    </w:p>
    <w:p>
      <w:pPr>
        <w:spacing w:before="0" w:after="240"/>
        <w:rPr>
          <w:noProof/>
        </w:rPr>
      </w:pPr>
      <w:r>
        <w:rPr>
          <w:noProof/>
        </w:rPr>
        <w:t xml:space="preserve">В съответствие с член 5, параграф 3 от Протокол (№ 19) относно достиженията на правото от Шенген Съветът определя степента и условията, при които Обединеното кралство ще престане да участва в частите на достиженията на правото от Шенген, засегнати от посочената по-горе нотификация. Съветът действа под формата на решение, прието с квалифицирано мнозинство, по предложение на Комисията. </w:t>
      </w:r>
    </w:p>
    <w:p>
      <w:pPr>
        <w:spacing w:before="0" w:after="240"/>
        <w:rPr>
          <w:noProof/>
        </w:rPr>
      </w:pPr>
      <w:r>
        <w:rPr>
          <w:noProof/>
        </w:rPr>
        <w:t>В решението на Съвета съгласно член 5, параграф 3 от Протокол (№ 19) относно достиженията на правото от Шенген се вземат предвид следните критерии: необходимостта да се запази възможно най-широкото участие на нотифициращата държава членка в достиженията на правото от Шенген, без това да засяга сериозно тяхното практическо действие и същевременно се зачита тяхната съгласуваност.</w:t>
      </w:r>
    </w:p>
    <w:p>
      <w:pPr>
        <w:spacing w:before="0" w:after="240"/>
        <w:rPr>
          <w:noProof/>
        </w:rPr>
      </w:pPr>
      <w:r>
        <w:rPr>
          <w:noProof/>
        </w:rPr>
        <w:t>Целта на предложението за преработен текст от 16 май 2018 г. е да се подобри координацията и да се оптимизира използването на служителите за връзка по въпросите на имиграцията, включително новите европейски служители за връзка, изпратени в трети държави, за да се реагира по-ефективно на приоритетите на ЕС в областта на миграцията.</w:t>
      </w:r>
    </w:p>
    <w:p>
      <w:pPr>
        <w:spacing w:before="0" w:after="240"/>
        <w:rPr>
          <w:noProof/>
        </w:rPr>
      </w:pPr>
      <w:r>
        <w:rPr>
          <w:noProof/>
        </w:rPr>
        <w:t>Предложението за преработен текст от 16 май 2018 г. има същите цели като Регламент (ЕО) № 377/2004, изменен с Регламент (ЕС) № 493/2011, като е насочено към засилване на сътрудничеството и координацията между служителите за връзка по въпросите на имиграцията, командировани в трети държави, по-специално чрез установяването на задължение за създаване на местни или регионални мрежи на служителите за връзка по въпросите на имиграцията, както и чрез насърчаването на използването на специален електронен инструмент за редовен обмен на информация в рамките на местните мрежи и чрез създаването на система за докладване относно дейностите на мрежите от служители за връзка по въпросите на имиграцията, но без да се налага специфично оперативно взаимодействие с други системи или правни инструменти, които са част от достиженията на правото от Шенген.</w:t>
      </w:r>
    </w:p>
    <w:p>
      <w:pPr>
        <w:spacing w:before="0" w:after="240"/>
        <w:rPr>
          <w:noProof/>
        </w:rPr>
      </w:pPr>
      <w:r>
        <w:rPr>
          <w:noProof/>
        </w:rPr>
        <w:t xml:space="preserve">Поради своето естество, както предложението за преработен текст от 16 май 2018 г., така и действащият Регламент (ЕО) № 377/2004, изменен с Регламент (ЕС) № 493/2011, представляват самостоятелна мярка в рамките на достиженията на правото от Шенген, която не си взаимодейства оперативно с други правни инструменти, които са част от достиженията на правото от Шенген. </w:t>
      </w:r>
    </w:p>
    <w:p>
      <w:pPr>
        <w:spacing w:before="0" w:after="240"/>
        <w:rPr>
          <w:noProof/>
        </w:rPr>
      </w:pPr>
      <w:r>
        <w:rPr>
          <w:noProof/>
        </w:rPr>
        <w:t>Ето защо може да се смята, в този изключително особен случай, че въпреки прекратяването на участието на Обединеното кралство в Регламент (ЕО) № 377/2004, изменен с Регламент (ЕС) № 493/2011, продължаващото участие на Обединеното кралство в останалата част от достиженията на правото от Шенген, в които понастоящем то участва, позволява да се гарантира възможно най-широкото участие на Обединеното кралство в тези достижения, без това да засяга сериозно практическото действие на достиженията на правото от Шенген и същевременно се зачита тяхната съгласуваност.</w:t>
      </w:r>
    </w:p>
    <w:p>
      <w:pPr>
        <w:pStyle w:val="ManualHeading2"/>
        <w:rPr>
          <w:rFonts w:eastAsia="Arial Unicode MS"/>
          <w:noProof/>
        </w:rPr>
      </w:pPr>
      <w:r>
        <w:rPr>
          <w:noProof/>
          <w:color w:val="000000"/>
          <w:bdr w:val="none" w:sz="0" w:space="0" w:color="auto" w:frame="1"/>
        </w:rPr>
        <w:t>•</w:t>
      </w:r>
      <w:r>
        <w:rPr>
          <w:noProof/>
        </w:rPr>
        <w:tab/>
        <w:t>Съгласуваност с други политики на Съюза</w:t>
      </w:r>
    </w:p>
    <w:p>
      <w:pPr>
        <w:spacing w:before="0" w:after="240"/>
        <w:rPr>
          <w:noProof/>
        </w:rPr>
      </w:pPr>
      <w:r>
        <w:rPr>
          <w:noProof/>
        </w:rPr>
        <w:t xml:space="preserve">Не се прилага.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bdr w:val="none" w:sz="0" w:space="0" w:color="auto" w:frame="1"/>
        </w:rPr>
      </w:pPr>
      <w:r>
        <w:rPr>
          <w:noProof/>
        </w:rPr>
        <w:t>•</w:t>
      </w:r>
      <w:r>
        <w:rPr>
          <w:noProof/>
        </w:rPr>
        <w:tab/>
        <w:t>Правно основание</w:t>
      </w:r>
    </w:p>
    <w:p>
      <w:pPr>
        <w:spacing w:before="0" w:after="240"/>
        <w:rPr>
          <w:rFonts w:eastAsia="Arial Unicode MS"/>
          <w:noProof/>
          <w:bdr w:val="none" w:sz="0" w:space="0" w:color="auto" w:frame="1"/>
        </w:rPr>
      </w:pPr>
      <w:r>
        <w:rPr>
          <w:noProof/>
        </w:rPr>
        <w:t>Настоящото предложение се основава на член 5, параграф 3 от Протокол (№ 19) относно достиженията на правото от Шенген, включени в рамките на Европейския съюз.</w:t>
      </w:r>
    </w:p>
    <w:p>
      <w:pPr>
        <w:pStyle w:val="ManualHeading2"/>
        <w:rPr>
          <w:rFonts w:eastAsia="Arial Unicode MS"/>
          <w:noProof/>
          <w:bdr w:val="none" w:sz="0" w:space="0" w:color="auto" w:frame="1"/>
        </w:rPr>
      </w:pPr>
      <w:r>
        <w:rPr>
          <w:noProof/>
        </w:rPr>
        <w:t>•</w:t>
      </w:r>
      <w:r>
        <w:rPr>
          <w:noProof/>
        </w:rPr>
        <w:tab/>
        <w:t xml:space="preserve">Субсидиарност (при неизключителна компетентност) </w:t>
      </w:r>
    </w:p>
    <w:p>
      <w:pPr>
        <w:spacing w:before="0" w:after="240"/>
        <w:rPr>
          <w:noProof/>
        </w:rPr>
      </w:pPr>
      <w:r>
        <w:rPr>
          <w:noProof/>
        </w:rPr>
        <w:t xml:space="preserve">Не се прилага. </w:t>
      </w:r>
    </w:p>
    <w:p>
      <w:pPr>
        <w:spacing w:before="0" w:after="240"/>
        <w:rPr>
          <w:rFonts w:eastAsia="Arial Unicode MS"/>
          <w:noProof/>
          <w:bdr w:val="none" w:sz="0" w:space="0" w:color="auto" w:frame="1"/>
        </w:rPr>
      </w:pPr>
      <w:r>
        <w:rPr>
          <w:b/>
          <w:noProof/>
          <w:bdr w:val="none" w:sz="0" w:space="0" w:color="auto" w:frame="1"/>
        </w:rPr>
        <w:t>•</w:t>
      </w:r>
      <w:r>
        <w:rPr>
          <w:noProof/>
        </w:rPr>
        <w:tab/>
      </w:r>
      <w:r>
        <w:rPr>
          <w:b/>
          <w:noProof/>
          <w:bdr w:val="none" w:sz="0" w:space="0" w:color="auto" w:frame="1"/>
        </w:rPr>
        <w:t>Пропорционалност</w:t>
      </w:r>
    </w:p>
    <w:p>
      <w:pPr>
        <w:spacing w:before="0" w:after="240"/>
        <w:rPr>
          <w:noProof/>
        </w:rPr>
      </w:pPr>
      <w:r>
        <w:rPr>
          <w:noProof/>
        </w:rPr>
        <w:t>Не се прилага.</w:t>
      </w:r>
    </w:p>
    <w:p>
      <w:pPr>
        <w:pStyle w:val="ManualHeading2"/>
        <w:rPr>
          <w:rFonts w:eastAsia="Arial Unicode MS"/>
          <w:noProof/>
          <w:bdr w:val="none" w:sz="0" w:space="0" w:color="auto" w:frame="1"/>
        </w:rPr>
      </w:pPr>
      <w:r>
        <w:rPr>
          <w:noProof/>
        </w:rPr>
        <w:t>•</w:t>
      </w:r>
      <w:r>
        <w:rPr>
          <w:noProof/>
        </w:rPr>
        <w:tab/>
        <w:t>Избор на инструмент</w:t>
      </w:r>
    </w:p>
    <w:p>
      <w:pPr>
        <w:spacing w:before="0" w:after="240"/>
        <w:rPr>
          <w:noProof/>
        </w:rPr>
      </w:pPr>
      <w:r>
        <w:rPr>
          <w:noProof/>
        </w:rPr>
        <w:t>Протокол (№ 19) относно достиженията на правото от Шенген, включени в рамките на Европейския съюз, определя процедурите, уреждащи участието на Обединеното кралство в мерки, основаващи се на достиженията на правото от Шенген.</w:t>
      </w:r>
    </w:p>
    <w:p>
      <w:pPr>
        <w:spacing w:before="0" w:after="240"/>
        <w:rPr>
          <w:noProof/>
        </w:rPr>
      </w:pPr>
      <w:r>
        <w:rPr>
          <w:b/>
          <w:noProof/>
        </w:rPr>
        <w:t>3.</w:t>
      </w:r>
      <w:r>
        <w:rPr>
          <w:noProof/>
        </w:rPr>
        <w:tab/>
      </w:r>
      <w:r>
        <w:rPr>
          <w:b/>
          <w:noProof/>
        </w:rPr>
        <w:t>РЕЗУЛТАТИ ОТ ПОСЛЕДВАЩИТЕ ОЦЕНКИ, ОТ КОНСУЛТАЦИИТЕ СЪС ЗАИНТЕРЕСОВАНИТЕ СТРАНИ И ОТ ОЦЕНКИТЕ НА ВЪЗДЕЙСТВИЕТО</w:t>
      </w:r>
    </w:p>
    <w:p>
      <w:pPr>
        <w:rPr>
          <w:rFonts w:eastAsia="Arial Unicode MS"/>
          <w:noProof/>
        </w:rPr>
      </w:pPr>
      <w:r>
        <w:rPr>
          <w:noProof/>
        </w:rPr>
        <w:t xml:space="preserve">Предвид естеството и обхвата на настоящото предложение не са необходими последваща оценка, консултация със заинтересованите страни или оценка на въздействието. </w:t>
      </w:r>
      <w:r>
        <w:rPr>
          <w:noProof/>
        </w:rPr>
        <w:tab/>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w:t>
      </w:r>
    </w:p>
    <w:p>
      <w:pPr>
        <w:spacing w:before="0" w:after="0"/>
        <w:jc w:val="left"/>
        <w:rPr>
          <w:noProof/>
        </w:rPr>
        <w:sectPr>
          <w:footerReference w:type="default" r:id="rId16"/>
          <w:footerReference w:type="first" r:id="rId17"/>
          <w:pgSz w:w="11907" w:h="16839"/>
          <w:pgMar w:top="1134" w:right="1417" w:bottom="1134" w:left="1417" w:header="709" w:footer="709" w:gutter="0"/>
          <w:cols w:space="720"/>
          <w:docGrid w:linePitch="326"/>
        </w:sectPr>
      </w:pPr>
    </w:p>
    <w:p>
      <w:pPr>
        <w:pStyle w:val="Rfrenceinterinstitutionnelle"/>
        <w:rPr>
          <w:noProof/>
        </w:rPr>
      </w:pPr>
      <w:r>
        <w:rPr>
          <w:noProof/>
        </w:rPr>
        <w:t>2019/0011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 относно нотифицирането на желанието на Обединеното кралство Великобритания и Северна Ирландия да не участва вече в някои от разпоредбите на достиженията на правото от Шенген, които се съдържат в Регламент (ЕО) № 377/2004 на Съвета от 19 февруари 2004 г. за създаване на мрежа от служители за връзка по въпросите на имиграцията</w:t>
      </w:r>
      <w:r>
        <w:rPr>
          <w:noProof/>
        </w:rPr>
        <w:br/>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Европейския съюз, </w:t>
      </w:r>
    </w:p>
    <w:p>
      <w:pPr>
        <w:rPr>
          <w:noProof/>
        </w:rPr>
      </w:pPr>
      <w:r>
        <w:rPr>
          <w:noProof/>
        </w:rPr>
        <w:t>като взе предвид Договора за функционирането на Европейския съюз,</w:t>
      </w:r>
    </w:p>
    <w:p>
      <w:pPr>
        <w:rPr>
          <w:noProof/>
          <w:szCs w:val="24"/>
        </w:rPr>
      </w:pPr>
      <w:r>
        <w:rPr>
          <w:noProof/>
          <w:szCs w:val="24"/>
        </w:rPr>
        <w:t xml:space="preserve">като взе предвид предложението на Европейската комисия, </w:t>
      </w:r>
    </w:p>
    <w:p>
      <w:pPr>
        <w:rPr>
          <w:noProof/>
        </w:rPr>
      </w:pPr>
      <w:r>
        <w:rPr>
          <w:noProof/>
        </w:rPr>
        <w:t>като взе предвид Протокол (№ 19) относно достиженията на правото от Шенген, включени в рамките на Европейския съюз, приложен към Договора за Европейския съюз и към Договора за функционирането на Европейския съюз, и по-специално член 5, параграф 3 от него,</w:t>
      </w:r>
    </w:p>
    <w:p>
      <w:pPr>
        <w:rPr>
          <w:noProof/>
        </w:rPr>
      </w:pPr>
      <w:r>
        <w:rPr>
          <w:noProof/>
        </w:rPr>
        <w:t>като взе предвид нотификацията, направена съгласно член 5, параграф 2 от Протокол (№ 19) относно достиженията на правото от Шенген, включени в рамките на Европейския съюз, от правителството на Обединеното кралство Великобритания и Северна Ирландия с писмо до председателя на Съвета от 1 октомври 2018 г. относно желанието му да не участва в предложението за Регламент на Европейския парламент и на Съвета за създаване на европейска мрежа от служители за връзка по въпросите на имиграцията,</w:t>
      </w:r>
      <w:r>
        <w:rPr>
          <w:rStyle w:val="FootnoteReference"/>
          <w:noProof/>
        </w:rPr>
        <w:t xml:space="preserve"> </w:t>
      </w:r>
      <w:r>
        <w:rPr>
          <w:rStyle w:val="FootnoteReference"/>
          <w:noProof/>
        </w:rPr>
        <w:footnoteReference w:id="3"/>
      </w:r>
    </w:p>
    <w:p>
      <w:pPr>
        <w:rPr>
          <w:noProof/>
        </w:rPr>
      </w:pPr>
      <w:r>
        <w:rPr>
          <w:noProof/>
        </w:rPr>
        <w:t>като има предвид, че:</w:t>
      </w:r>
    </w:p>
    <w:p>
      <w:pPr>
        <w:pStyle w:val="ManualConsidrant"/>
        <w:rPr>
          <w:noProof/>
        </w:rPr>
      </w:pPr>
      <w:r>
        <w:t>(1)</w:t>
      </w:r>
      <w:r>
        <w:tab/>
      </w:r>
      <w:r>
        <w:rPr>
          <w:noProof/>
        </w:rPr>
        <w:t>Обединеното кралство участваше в Регламент (ЕО) № 377/2004</w:t>
      </w:r>
      <w:r>
        <w:rPr>
          <w:rStyle w:val="FootnoteReference"/>
          <w:noProof/>
        </w:rPr>
        <w:footnoteReference w:id="4"/>
      </w:r>
      <w:r>
        <w:rPr>
          <w:noProof/>
        </w:rPr>
        <w:t xml:space="preserve"> на Съвета, изменен с Регламент (ЕС) № 493/2011 на Европейския парламент и на Съвета от 5 април 2011 г.</w:t>
      </w:r>
      <w:r>
        <w:rPr>
          <w:rStyle w:val="FootnoteReference"/>
          <w:noProof/>
        </w:rPr>
        <w:footnoteReference w:id="5"/>
      </w:r>
      <w:r>
        <w:rPr>
          <w:noProof/>
        </w:rPr>
        <w:t xml:space="preserve"> </w:t>
      </w:r>
    </w:p>
    <w:p>
      <w:pPr>
        <w:pStyle w:val="ManualConsidrant"/>
        <w:rPr>
          <w:noProof/>
        </w:rPr>
      </w:pPr>
      <w:r>
        <w:t>(2)</w:t>
      </w:r>
      <w:r>
        <w:tab/>
      </w:r>
      <w:r>
        <w:rPr>
          <w:noProof/>
        </w:rPr>
        <w:t>На 1 октомври 2018 г., в рамките на изисквания тримесечен срок, Обединеното кралство нотифицира председателя на Съвета за желанието си да не участва в приемането на преработения текст на Регламента за създаване на европейска мрежа от служители за връзка по въпросите на имиграцията, предложен от Комисията на 16 май 2018 г. и получен от Съвета на всички изисквани езици на 2 юли 2018 г.</w:t>
      </w:r>
    </w:p>
    <w:p>
      <w:pPr>
        <w:pStyle w:val="ManualConsidrant"/>
        <w:rPr>
          <w:noProof/>
        </w:rPr>
      </w:pPr>
      <w:r>
        <w:t>(3)</w:t>
      </w:r>
      <w:r>
        <w:tab/>
      </w:r>
      <w:r>
        <w:rPr>
          <w:noProof/>
        </w:rPr>
        <w:t>Регламент (ЕО) № 377/2004 има за цел да засили сътрудничеството между служителите за връзка по въпросите на имиграцията, командировани в трети държави, по-специално чрез установяването на задължение за създаване на местни или регионални мрежи на служителите за връзка по въпросите на имиграцията, както и чрез насърчаването на използването на специален електронен инструмент за редовен обмен на информация в рамките на местните мрежи и чрез създаването на система за докладване относно дейностите на мрежите от служители за връзка по въпросите на имиграцията, без да се изисква използването на оперативни системи или да се взаимодейства пряко с правните разпоредби, съдържащи се в други правни инструменти, които са част от достиженията на правото от Шенген.</w:t>
      </w:r>
    </w:p>
    <w:p>
      <w:pPr>
        <w:pStyle w:val="ManualConsidrant"/>
        <w:rPr>
          <w:noProof/>
        </w:rPr>
      </w:pPr>
      <w:r>
        <w:t>(4)</w:t>
      </w:r>
      <w:r>
        <w:tab/>
      </w:r>
      <w:r>
        <w:rPr>
          <w:noProof/>
        </w:rPr>
        <w:t>Предложението от 16 май 2018 г. за преработен текст на Регламента за създаване на европейска мрежа от служители за връзка по въпросите на имиграцията има за цел задълбочаване на координацията и оптимизиране на използването на служителите за връзка по въпросите на имиграцията, включително новите европейски служители за връзка, изпратени в трети държави, за да се отговори по-добре на приоритетите на ЕС в областта на миграцията, но при това то не се отклонява от естеството на действащия Регламент (ЕО) № 377/2004, изменен с Регламент (ЕС) № 493/2011, що се отнася до конкретното му взаимодействие с останалите части от достиженията на правото от Шенген.</w:t>
      </w:r>
    </w:p>
    <w:p>
      <w:pPr>
        <w:pStyle w:val="ManualConsidrant"/>
        <w:rPr>
          <w:noProof/>
        </w:rPr>
      </w:pPr>
      <w:r>
        <w:t>(5)</w:t>
      </w:r>
      <w:r>
        <w:tab/>
      </w:r>
      <w:r>
        <w:rPr>
          <w:noProof/>
        </w:rPr>
        <w:t>Поради това както предложението за преработен текст от 16 май 2018 г., така и действащият Регламент (ЕО) № 377/2004, изменен с Регламент (ЕС) № 493/2011, могат да бъдат разглеждани като самостоятелна мярка в рамките на достиженията на правото от Шенген, която не си взаимодейства оперативно с други правни инструменти, които са част от достиженията на правото от Шенген.</w:t>
      </w:r>
    </w:p>
    <w:p>
      <w:pPr>
        <w:pStyle w:val="ManualConsidrant"/>
        <w:rPr>
          <w:noProof/>
        </w:rPr>
      </w:pPr>
      <w:r>
        <w:t>(6)</w:t>
      </w:r>
      <w:r>
        <w:tab/>
      </w:r>
      <w:r>
        <w:rPr>
          <w:noProof/>
        </w:rPr>
        <w:t>В този изключително особен случай и с оглед на самостоятелния характер в рамките на достиженията на правото от Шенген на Регламент (ЕО) № 377/2004, изменен с Регламент (ЕС) № 493/2011, може да се смята, че ако Обединеното кралство не участва вече в посочения регламент или в евентуални негови допълнителни изменения, но продължи да участва в останалата част от достиженията на правото от Шенген, в които понастоящем участва съгласно Решение № 2000/365/ЕО</w:t>
      </w:r>
      <w:r>
        <w:rPr>
          <w:rStyle w:val="FootnoteReference"/>
          <w:noProof/>
        </w:rPr>
        <w:footnoteReference w:id="6"/>
      </w:r>
      <w:r>
        <w:rPr>
          <w:noProof/>
        </w:rPr>
        <w:t xml:space="preserve"> на Съвета, това ще гарантира възможно най-широкото участие на Обединеното кралство, без да се засяга сериозно практическото действие на другите части от достиженията на правото на Шенген и същевременно се зачита тяхната съгласуваност.</w:t>
      </w:r>
    </w:p>
    <w:p>
      <w:pPr>
        <w:pStyle w:val="ManualConsidrant"/>
        <w:rPr>
          <w:noProof/>
        </w:rPr>
      </w:pPr>
      <w:r>
        <w:t>(7)</w:t>
      </w:r>
      <w:r>
        <w:tab/>
      </w:r>
      <w:r>
        <w:rPr>
          <w:noProof/>
        </w:rPr>
        <w:t xml:space="preserve">Ето защо следва член 8, параграф 2 от Решение 2000/365/ЕО, в съответствие с член 5, параграф 3 от Протокол (№ 19) относно достиженията на правото от Шенген, включени в рамките на Европейския съюз, и считано от влизането в сила на предложения преработен текст на Регламент (ЕО) № 377/2004, да престане да се прилага за Обединеното кралство Великобритания и Северна Ирландия по отношение на Регламент (ЕО) № 377/2004, изменен с Регламент (ЕС) № 493/2011, и на евентуални негови допълнителни изменения, включително предложението за преработен текст на Регламент (ЕО) № 377/2004. </w:t>
      </w:r>
    </w:p>
    <w:p>
      <w:pPr>
        <w:pStyle w:val="ManualConsidrant"/>
        <w:rPr>
          <w:noProof/>
        </w:rPr>
      </w:pPr>
      <w:r>
        <w:t>(8)</w:t>
      </w:r>
      <w:r>
        <w:tab/>
      </w:r>
      <w:r>
        <w:rPr>
          <w:noProof/>
        </w:rPr>
        <w:t>Поради това в съответствие с член 5, параграф 3 от посочения протокол следва също, считано от влизането в сила на предложения преработен текст, по отношение на Регламент (ЕО) № 377/2004 да престане да се прилага и точка 6 от приложение I към Решение 2004/926/ЕО</w:t>
      </w:r>
      <w:r>
        <w:rPr>
          <w:rStyle w:val="FootnoteReference"/>
          <w:noProof/>
        </w:rPr>
        <w:footnoteReference w:id="7"/>
      </w:r>
      <w:r>
        <w:rPr>
          <w:noProof/>
        </w:rPr>
        <w:t xml:space="preserve"> на Съвета,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Решение 2000/365/ЕО, както и точка 6 от приложение I към Решение 2004/926/ЕО престават да се прилагат за Обединеното кралство Великобритания и Северна Ирландия по отношение на Регламент (ЕО) № 377/2004 на Съвета за създаване на мрежа от служители за връзка по въпросите на имиграцията, изменен с Регламент (ЕС) № 493/2011, и на евентуални негови допълнителни изменения, считано от датата на влизане в сила на предложения преработен текст на Регламента на Европейския парламент и на Съвета за създаване на европейска мрежа от служители за връзка по въпросите на имиграцията.</w:t>
      </w:r>
    </w:p>
    <w:p>
      <w:pPr>
        <w:pStyle w:val="Titrearticle"/>
        <w:rPr>
          <w:noProof/>
        </w:rPr>
      </w:pPr>
      <w:r>
        <w:rPr>
          <w:noProof/>
        </w:rPr>
        <w:t>Член 2</w:t>
      </w:r>
    </w:p>
    <w:p>
      <w:pPr>
        <w:keepLines/>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131, 1.6.2000 г., стр. 43.</w:t>
      </w:r>
    </w:p>
  </w:footnote>
  <w:footnote w:id="2">
    <w:p>
      <w:pPr>
        <w:pStyle w:val="FootnoteText"/>
      </w:pPr>
      <w:r>
        <w:rPr>
          <w:rStyle w:val="FootnoteReference"/>
        </w:rPr>
        <w:footnoteRef/>
      </w:r>
      <w:r>
        <w:tab/>
        <w:t>Предложение за Регламент на Европейския парламент и на Съвета за създаване на европейска мрежа от служители за връзка по въпросите на имиграцията (преработен текст)*, COM(2018) 303 final.</w:t>
      </w:r>
    </w:p>
  </w:footnote>
  <w:footnote w:id="3">
    <w:p>
      <w:pPr>
        <w:pStyle w:val="FootnoteText"/>
      </w:pPr>
      <w:r>
        <w:rPr>
          <w:rStyle w:val="FootnoteReference"/>
        </w:rPr>
        <w:footnoteRef/>
      </w:r>
      <w:r>
        <w:tab/>
        <w:t>COM(2018) 303 final.</w:t>
      </w:r>
    </w:p>
  </w:footnote>
  <w:footnote w:id="4">
    <w:p>
      <w:pPr>
        <w:pStyle w:val="FootnoteText"/>
      </w:pPr>
      <w:r>
        <w:rPr>
          <w:rStyle w:val="FootnoteReference"/>
        </w:rPr>
        <w:footnoteRef/>
      </w:r>
      <w:r>
        <w:tab/>
        <w:t>Регламент (ЕО) № 377/2004 на Съвета от 19 февруари 2004 г. за създаване на мрежа от служители за връзка по въпросите на имиграцията (ОВ L 64, 2.3.2004 г., стр. 1).</w:t>
      </w:r>
    </w:p>
  </w:footnote>
  <w:footnote w:id="5">
    <w:p>
      <w:pPr>
        <w:pStyle w:val="FootnoteText"/>
      </w:pPr>
      <w:r>
        <w:rPr>
          <w:rStyle w:val="FootnoteReference"/>
        </w:rPr>
        <w:footnoteRef/>
      </w:r>
      <w:r>
        <w:tab/>
        <w:t>Регламент (ЕС) № 493/2011 на Европейския парламент и на Съвета от 5 април 2011 г. за изменение на Регламент (ЕО) № 377/2004 на Съвета от 19 февруари 2004 г. за създаване на мрежа от служители за връзка по въпросите на имиграцията (ОВ L 141, 27.5.2011 г., стр. 13).</w:t>
      </w:r>
    </w:p>
  </w:footnote>
  <w:footnote w:id="6">
    <w:p>
      <w:pPr>
        <w:pStyle w:val="FootnoteText"/>
        <w:rPr>
          <w:lang w:val="sk-SK"/>
        </w:rPr>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7">
    <w:p>
      <w:pPr>
        <w:pStyle w:val="FootnoteText"/>
      </w:pPr>
      <w:r>
        <w:rPr>
          <w:rStyle w:val="FootnoteReference"/>
        </w:rPr>
        <w:footnoteRef/>
      </w:r>
      <w:r>
        <w:rPr>
          <w:lang w:val="sk-SK"/>
        </w:rPr>
        <w:tab/>
        <w:t>Решение 2004/926/ЕО на Съвета от 22 декември 2004 г. относно влизането в сила на части от достиженията на правото от Шенген за Обединеното кралство Великобритания и Северна Ирландия (ОВ L 395, 31.12.2004 г., стр.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3CB9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28A4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DE1E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0ECB7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841F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0674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8D4E7C4"/>
    <w:lvl w:ilvl="0">
      <w:start w:val="1"/>
      <w:numFmt w:val="decimal"/>
      <w:pStyle w:val="ListNumber"/>
      <w:lvlText w:val="%1."/>
      <w:lvlJc w:val="left"/>
      <w:pPr>
        <w:tabs>
          <w:tab w:val="num" w:pos="360"/>
        </w:tabs>
        <w:ind w:left="360" w:hanging="360"/>
      </w:pPr>
    </w:lvl>
  </w:abstractNum>
  <w:abstractNum w:abstractNumId="7">
    <w:nsid w:val="FFFFFF89"/>
    <w:multiLevelType w:val="singleLevel"/>
    <w:tmpl w:val="B7326B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ETTE Anne (HOME)">
    <w15:presenceInfo w15:providerId="None" w15:userId="BARETTE Anne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1:17: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396B856-D785-4CFC-912B-5806E02F58CE"/>
    <w:docVar w:name="LW_COVERPAGE_TYPE" w:val="1"/>
    <w:docVar w:name="LW_CROSSREFERENCE" w:val="&lt;UNUSED&gt;"/>
    <w:docVar w:name="LW_DocType" w:val="COM"/>
    <w:docVar w:name="LW_EMISSION" w:val="31.1.2019"/>
    <w:docVar w:name="LW_EMISSION_ISODATE" w:val="2019-01-3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11"/>
    <w:docVar w:name="LW_REF.II.NEW.CP_YEAR" w:val="2019"/>
    <w:docVar w:name="LW_REF.INST.NEW" w:val="COM"/>
    <w:docVar w:name="LW_REF.INST.NEW_ADOPTED" w:val="final"/>
    <w:docVar w:name="LW_REF.INST.NEW_TEXT" w:val="(2019) 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 \u1086?\u1090?\u1085?\u1086?\u1089?\u1085?\u1086? \u1085?\u1086?\u1090?\u1080?\u1092?\u1080?\u1094?\u1080?\u1088?\u1072?\u1085?\u1077?\u1090?\u1086? \u1085?\u1072? \u1078?\u1077?\u1083?\u1072?\u1085?\u1080?\u1077?\u1090?\u1086? \u1085?\u1072? \u1054?\u1073?\u1077?\u1076?\u1080?\u1085?\u1077?\u1085?\u1086?\u1090?\u1086? \u1082?\u1088?\u1072?\u1083?\u1089?\u1090?\u1074?\u1086? \u1042?\u1077?\u1083?\u1080?\u1082?\u1086?\u1073?\u1088?\u1080?\u1090?\u1072?\u1085?\u1080?\u1103? \u1080? \u1057?\u1077?\u1074?\u1077?\u1088?\u1085?\u1072? \u1048?\u1088?\u1083?\u1072?\u1085?\u1076?\u1080?\u1103? \u1076?\u1072? \u1085?\u1077? \u1091?\u1095?\u1072?\u1089?\u1090?\u1074?\u1072? \u1074?\u1077?\u1095?\u1077? \u1074? \u1085?\u1103?\u1082?\u1086?\u1080? \u1086?\u1090? \u1088?\u1072?\u1079?\u1087?\u1086?\u1088?\u1077?\u1076?\u1073?\u1080?\u1090?\u1077? \u1085?\u1072? \u1076?\u1086?\u1089?\u1090?\u1080?\u1078?\u1077?\u1085?\u1080?\u1103?\u1090?\u1072? \u1085?\u1072? \u1087?\u1088?\u1072?\u1074?\u1086?\u1090?\u1086? \u1086?\u1090? \u1064?\u1077?\u1085?\u1075?\u1077?\u1085?, \u1082?\u1086?\u1080?\u1090?\u1086? \u1089?\u1077? \u1089?\u1098?\u1076?\u1098?\u1088?\u1078?\u1072?\u1090? \u1074? \u1056?\u1077?\u1075?\u1083?\u1072?\u1084?\u1077?\u1085?\u1090? (\u1045?\u1054?) \u8470? 377/2004 \u1085?\u1072? \u1057?\u1098?\u1074?\u1077?\u1090?\u1072? \u1086?\u1090? 19 \u1092?\u1077?\u1074?\u1088?\u1091?\u1072?\u1088?\u1080? 2004 \u1075?. \u1079?\u1072? \u1089?\u1098?\u1079?\u1076?\u1072?\u1074?\u1072?\u1085?\u1077? \u1085?\u1072? \u1084?\u1088?\u1077?\u1078?\u1072? \u1086?\u1090? \u1089?\u1083?\u1091?\u1078?\u1080?\u1090?\u1077?\u1083?\u1080? \u1079?\u1072? \u1074?\u1088?\u1098?\u1079?\u1082?\u1072? \u1087?\u1086? \u1074?\u1098?\u1087?\u1088?\u1086?\u1089?\u1080?\u1090?\u1077? \u1085?\u1072? \u1080?\u1084?\u1080?\u1075?\u1088?\u1072?\u1094?\u1080?\u1103?\u1090?\u1072?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86489">
      <w:bodyDiv w:val="1"/>
      <w:marLeft w:val="0"/>
      <w:marRight w:val="0"/>
      <w:marTop w:val="0"/>
      <w:marBottom w:val="0"/>
      <w:divBdr>
        <w:top w:val="none" w:sz="0" w:space="0" w:color="auto"/>
        <w:left w:val="none" w:sz="0" w:space="0" w:color="auto"/>
        <w:bottom w:val="none" w:sz="0" w:space="0" w:color="auto"/>
        <w:right w:val="none" w:sz="0" w:space="0" w:color="auto"/>
      </w:divBdr>
    </w:div>
    <w:div w:id="1740714283">
      <w:bodyDiv w:val="1"/>
      <w:marLeft w:val="0"/>
      <w:marRight w:val="0"/>
      <w:marTop w:val="0"/>
      <w:marBottom w:val="0"/>
      <w:divBdr>
        <w:top w:val="none" w:sz="0" w:space="0" w:color="auto"/>
        <w:left w:val="none" w:sz="0" w:space="0" w:color="auto"/>
        <w:bottom w:val="none" w:sz="0" w:space="0" w:color="auto"/>
        <w:right w:val="none" w:sz="0" w:space="0" w:color="auto"/>
      </w:divBdr>
    </w:div>
    <w:div w:id="1993946932">
      <w:bodyDiv w:val="1"/>
      <w:marLeft w:val="0"/>
      <w:marRight w:val="0"/>
      <w:marTop w:val="0"/>
      <w:marBottom w:val="0"/>
      <w:divBdr>
        <w:top w:val="none" w:sz="0" w:space="0" w:color="auto"/>
        <w:left w:val="none" w:sz="0" w:space="0" w:color="auto"/>
        <w:bottom w:val="none" w:sz="0" w:space="0" w:color="auto"/>
        <w:right w:val="none" w:sz="0" w:space="0" w:color="auto"/>
      </w:divBdr>
      <w:divsChild>
        <w:div w:id="500394591">
          <w:marLeft w:val="0"/>
          <w:marRight w:val="0"/>
          <w:marTop w:val="0"/>
          <w:marBottom w:val="0"/>
          <w:divBdr>
            <w:top w:val="none" w:sz="0" w:space="0" w:color="auto"/>
            <w:left w:val="none" w:sz="0" w:space="0" w:color="auto"/>
            <w:bottom w:val="none" w:sz="0" w:space="0" w:color="auto"/>
            <w:right w:val="none" w:sz="0" w:space="0" w:color="auto"/>
          </w:divBdr>
        </w:div>
        <w:div w:id="1584877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AD565-DEB6-4681-BBD0-2A38841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1823</Words>
  <Characters>10120</Characters>
  <Application>Microsoft Office Word</Application>
  <DocSecurity>0</DocSecurity>
  <Lines>194</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2018-10-24T15:44:00Z</cp:lastPrinted>
  <dcterms:created xsi:type="dcterms:W3CDTF">2019-01-25T13:55:00Z</dcterms:created>
  <dcterms:modified xsi:type="dcterms:W3CDTF">2019-01-28T10:17:00Z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