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8672C2A-D606-43BB-9CEB-450F50276381" style="width:450.75pt;height:492.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noProof/>
        </w:rPr>
      </w:pPr>
      <w:bookmarkStart w:id="0" w:name="_GoBack"/>
      <w:bookmarkEnd w:id="0"/>
      <w:r>
        <w:rPr>
          <w:noProof/>
        </w:rPr>
        <w:lastRenderedPageBreak/>
        <w:t>ACCORD</w:t>
      </w:r>
    </w:p>
    <w:p>
      <w:pPr>
        <w:rPr>
          <w:noProof/>
        </w:rPr>
      </w:pPr>
      <w:r>
        <w:rPr>
          <w:noProof/>
        </w:rPr>
        <w:t>entre l’Union européenne et la Principauté de Liechtenstein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w:t>
      </w:r>
    </w:p>
    <w:p>
      <w:pPr>
        <w:rPr>
          <w:noProof/>
        </w:rPr>
      </w:pPr>
    </w:p>
    <w:p>
      <w:pPr>
        <w:rPr>
          <w:noProof/>
        </w:rPr>
      </w:pPr>
      <w:r>
        <w:rPr>
          <w:noProof/>
        </w:rPr>
        <w:t>L'UNION EUROPÉENNE, d'une part, et</w:t>
      </w:r>
    </w:p>
    <w:p>
      <w:pPr>
        <w:rPr>
          <w:noProof/>
        </w:rPr>
      </w:pPr>
    </w:p>
    <w:p>
      <w:pPr>
        <w:rPr>
          <w:noProof/>
        </w:rPr>
      </w:pPr>
      <w:r>
        <w:rPr>
          <w:noProof/>
        </w:rPr>
        <w:t xml:space="preserve">LA PRINCIPAUTÉ DE LIECHTENSTEIN, d'autre part, </w:t>
      </w:r>
    </w:p>
    <w:p>
      <w:pPr>
        <w:rPr>
          <w:noProof/>
        </w:rPr>
      </w:pPr>
    </w:p>
    <w:p>
      <w:pPr>
        <w:rPr>
          <w:noProof/>
        </w:rPr>
      </w:pPr>
      <w:r>
        <w:rPr>
          <w:noProof/>
        </w:rPr>
        <w:t>ci-après dénommées les «parties contractantes»,</w:t>
      </w:r>
    </w:p>
    <w:p>
      <w:pPr>
        <w:rPr>
          <w:noProof/>
        </w:rPr>
      </w:pPr>
    </w:p>
    <w:p>
      <w:pPr>
        <w:rPr>
          <w:noProof/>
        </w:rPr>
      </w:pPr>
      <w:r>
        <w:rPr>
          <w:noProof/>
        </w:rPr>
        <w:t>DÉSIREUSES d'améliorer la coopération policière et judiciaire entre les États membres de l'Union européenne et la Principauté de Liechtenstein, sans préjudice des dispositions de protection de la liberté individuelle;</w:t>
      </w:r>
    </w:p>
    <w:p>
      <w:pPr>
        <w:rPr>
          <w:noProof/>
        </w:rPr>
      </w:pPr>
      <w:r>
        <w:rPr>
          <w:noProof/>
        </w:rPr>
        <w:t>CONSIDÉRANT que les relations actuelles entre les parties contractantes, en particulier l’accord entre l’Union européenne, la Communauté européenne et la Principauté de Liechtenstein concernant l’association de la Principauté de Liechtenstein à la mise en œuvre, à l’application et au développement de l’acquis de Schengen, marquent une coopération étroite dans la lutte contre la criminalité;</w:t>
      </w:r>
    </w:p>
    <w:p>
      <w:pPr>
        <w:rPr>
          <w:noProof/>
        </w:rPr>
      </w:pPr>
      <w:r>
        <w:rPr>
          <w:noProof/>
        </w:rPr>
        <w:t>SOULIGNANT l'intérêt commun des parties contractantes à faire en sorte que la coopération policière entre les États membres de l'Union européenne et la Principauté de Liechtenstein fonctionne de manière efficace, rapide et compatible avec les principes fondamentaux de leurs systèmes juridiques nationaux et dans le respect des droits individuels et des principes de la Convention européenne de sauvegarde des droits de l'homme et des libertés fondamentales, signée à Rome le 4 novembre 1950;</w:t>
      </w:r>
    </w:p>
    <w:p>
      <w:pPr>
        <w:rPr>
          <w:noProof/>
        </w:rPr>
      </w:pPr>
      <w:r>
        <w:rPr>
          <w:noProof/>
        </w:rPr>
        <w:t>RECONNAISSANT que la décision-cadre 2006/960/JAI du Conseil du 18 décembre 2006 relative à la simplification de l’échange d’informations et de renseignements entre les services répressifs des États membres de l’Union européenne fixe déjà des règles en vertu desquelles les services répressifs des États membres et de la Principauté de Liechtenstein peuvent échanger d’une manière rapide et efficace des informations et des renseignements afin de mener des enquêtes pénales ou des opérations de renseignement en matière pénale;</w:t>
      </w:r>
    </w:p>
    <w:p>
      <w:pPr>
        <w:rPr>
          <w:noProof/>
        </w:rPr>
      </w:pPr>
      <w:r>
        <w:rPr>
          <w:noProof/>
        </w:rPr>
        <w:t>CONSCIENTES que, pour stimuler la coopération internationale en la matière, il est primordial que des informations précises puissent être échangées de manière rapide et efficace. Pour cela, il y a lieu de prévoir des procédures favorisant des échanges de données rapides, efficaces et peu coûteux. Aux fins de l'utilisation conjointe des données, ces procédures devraient respecter le principe de responsabilité et prévoir des garanties appropriées quant à l'exactitude et à la sécurité des données pendant leur transmission et leur conservation, ainsi que des modalités d'enregistrement des échanges de données et des restrictions à l'utilisation des informations échangées;</w:t>
      </w:r>
    </w:p>
    <w:p>
      <w:pPr>
        <w:rPr>
          <w:noProof/>
        </w:rPr>
      </w:pPr>
      <w:r>
        <w:rPr>
          <w:noProof/>
        </w:rPr>
        <w:lastRenderedPageBreak/>
        <w:t>PRÉCISANT que le présent accord contient dès lors des dispositions fondées sur les principales dispositions de la décision 2008/615/JAI du Conseil, de la décision 2008/616/JAI du Conseil, y compris son annexe, et de la décision-cadre 2009/905/JAI du Conseil, et destinées à améliorer l’échange d’informations, qui permettent aux États membres de l’Union européenne et à la Principauté de Liechtenstein de s’accorder mutuellement des droits d’accès à leurs fichiers automatisés d’analyses ADN, à leurs systèmes automatisés d’identification dactyloscopique et à leurs registres d’immatriculation des véhicules. Dans le cas de données extraites de fichiers nationaux d'analyse ADN et de systèmes automatisés d'identification dactyloscopique, un système «hit-no hit» (de concordance/non-concordance) devrait permettre à l'État qui effectue une consultation de demander, dans un second temps, des données à caractère personnel bien précises à l'État gestionnaire du dossier et, le cas échéant, de demander des informations complémentaires par le biais des procédures d'entraide judiciaire, notamment celles adoptées conformément à la décision-cadre 2006/960/JAI du Conseil;</w:t>
      </w:r>
    </w:p>
    <w:p>
      <w:pPr>
        <w:rPr>
          <w:noProof/>
        </w:rPr>
      </w:pPr>
      <w:r>
        <w:rPr>
          <w:noProof/>
        </w:rPr>
        <w:t>CONSIDÉRANT que ces dispositions accéléreraient considérablement les procédures existantes qui permettent aux États membres et à la Principauté de Liechtenstein de savoir si un autre État dispose ou non des informations dont ils ont besoin et, dans l'affirmative, de déterminer lequel;</w:t>
      </w:r>
    </w:p>
    <w:p>
      <w:pPr>
        <w:rPr>
          <w:noProof/>
        </w:rPr>
      </w:pPr>
      <w:r>
        <w:rPr>
          <w:noProof/>
        </w:rPr>
        <w:t>CONSIDÉRANT que la comparaison transfrontière des données conférera une nouvelle dimension à la lutte contre la criminalité. Les informations obtenues par comparaison des données ouvriront de nouvelles perspectives quant aux méthodes d'enquête et joueront ainsi un rôle crucial en matière d'aide aux services répressifs et aux autorités judiciaires des États;</w:t>
      </w:r>
    </w:p>
    <w:p>
      <w:pPr>
        <w:rPr>
          <w:noProof/>
        </w:rPr>
      </w:pPr>
      <w:r>
        <w:rPr>
          <w:noProof/>
        </w:rPr>
        <w:t>CONSIDÉRANT que les règles reposent sur la mise en réseau des bases de données nationales des États;</w:t>
      </w:r>
    </w:p>
    <w:p>
      <w:pPr>
        <w:rPr>
          <w:noProof/>
        </w:rPr>
      </w:pPr>
      <w:r>
        <w:rPr>
          <w:noProof/>
        </w:rPr>
        <w:t>CONSIDÉRANT que, sous certaines conditions, les États devraient pouvoir fournir des données, à caractère personnel ou non, de façon à améliorer l'échange d'informations aux fins de la prévention des infractions pénales et du maintien de l'ordre et de la sécurité publics en liaison avec des manifestations de grande envergure revêtant une dimension transfrontière;</w:t>
      </w:r>
    </w:p>
    <w:p>
      <w:pPr>
        <w:rPr>
          <w:noProof/>
        </w:rPr>
      </w:pPr>
      <w:r>
        <w:rPr>
          <w:noProof/>
        </w:rPr>
        <w:t>RECONNAISSANT que, outre l'amélioration des échanges d'informations, il est nécessaire de réglementer les autres formes de coopération plus étroite entre les services de police, en particulier par le biais d'opérations conjointes de sécurité (telles que des patrouilles communes);</w:t>
      </w:r>
    </w:p>
    <w:p>
      <w:pPr>
        <w:rPr>
          <w:noProof/>
        </w:rPr>
      </w:pPr>
      <w:r>
        <w:rPr>
          <w:noProof/>
        </w:rPr>
        <w:t>CONSIDÉRANT que le système «hit-no hit» (de concordance/non-concordance) crée une structure de comparaison de profils anonymes, dans le cadre de laquelle des données à caractère personnel supplémentaires ne sont échangées qu'après une concordance, leur transmission et leur réception étant régies par la législation nationale, y compris les règles d'assistance judiciaire. Ce mécanisme garantit un système adéquat de protection des données, étant entendu que la transmission de données à caractère personnel à un autre État exige un niveau suffisant de protection des données de la part de l'État destinataire;</w:t>
      </w:r>
    </w:p>
    <w:p>
      <w:pPr>
        <w:rPr>
          <w:noProof/>
        </w:rPr>
      </w:pPr>
      <w:r>
        <w:rPr>
          <w:noProof/>
        </w:rPr>
        <w:t>CONSIDÉRANT que la Principauté de Liechtenstein devrait assumer les frais engagés par ses propres autorités dans le cadre de l’application du présent accord;</w:t>
      </w:r>
    </w:p>
    <w:p>
      <w:pPr>
        <w:rPr>
          <w:noProof/>
        </w:rPr>
      </w:pPr>
      <w:r>
        <w:rPr>
          <w:noProof/>
        </w:rPr>
        <w:t>RECONNAISSANT que l’accréditation des prestataires de services de police scientifique menant des activités de laboratoire représente une étape importante vers un échange plus sûr et plus efficace des informations de police scientifique, et que certaines des dispositions de la décision-cadre 2009/905/JAI du Conseil doivent donc être respectées par la Principauté de Liechtenstein;</w:t>
      </w:r>
    </w:p>
    <w:p>
      <w:pPr>
        <w:rPr>
          <w:noProof/>
        </w:rPr>
      </w:pPr>
      <w:r>
        <w:rPr>
          <w:noProof/>
        </w:rPr>
        <w:lastRenderedPageBreak/>
        <w:t xml:space="preserve">CONSIDÉRANT que le traitement des données à caractère personnel par les autorités de la Principauté de Liechtenstein à des fins de prévention et de dépistage des infractions terroristes ou d’autres infractions pénales graves ou d’enquêtes en la matière conformément au présent accord devrait être soumis à une norme de protection des données à caractère personnel, en vertu du droit national,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w:t>
      </w:r>
    </w:p>
    <w:p>
      <w:pPr>
        <w:rPr>
          <w:noProof/>
        </w:rPr>
      </w:pPr>
      <w:r>
        <w:rPr>
          <w:noProof/>
        </w:rPr>
        <w:t>SE FONDANT sur une confiance mutuelle entre les États membres de l'Union européenne et la Principauté de Liechtenstein dans la structure et dans le fonctionnement de leurs systèmes juridiques;</w:t>
      </w:r>
    </w:p>
    <w:p>
      <w:pPr>
        <w:rPr>
          <w:noProof/>
        </w:rPr>
      </w:pPr>
      <w:r>
        <w:rPr>
          <w:noProof/>
        </w:rPr>
        <w:t xml:space="preserve">TENANT COMPTE du fait que, conformément à l’accord entre la Confédération suisse et la Principauté de Liechtenstein concernant la coopération dans le cadre des systèmes d’information suisses sur les empreintes digitales et les profils d’ADN, ces deux pays partagent la même base de données et les mêmes systèmes en vue de l’échange d’informations portant respectivement sur les données ADN et les données dactyloscopiques; </w:t>
      </w:r>
    </w:p>
    <w:p>
      <w:pPr>
        <w:rPr>
          <w:noProof/>
        </w:rPr>
      </w:pPr>
      <w:r>
        <w:rPr>
          <w:noProof/>
        </w:rPr>
        <w:t>RECONNAISSANT que les dispositions des accords bilatéraux et multilatéraux demeurent applicables pour toutes les questions qui ne sont pas traitées dans le présent accord,</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rPr>
          <w:noProof/>
        </w:rPr>
      </w:pPr>
      <w:r>
        <w:rPr>
          <w:noProof/>
        </w:rPr>
        <w:t>ONT DÉCIDÉ DE CONCLURE LE PRÉSENT ACCORD:</w:t>
      </w:r>
    </w:p>
    <w:p>
      <w:pPr>
        <w:rPr>
          <w:noProof/>
        </w:rPr>
      </w:pPr>
    </w:p>
    <w:p>
      <w:pPr>
        <w:jc w:val="center"/>
        <w:rPr>
          <w:noProof/>
        </w:rPr>
      </w:pPr>
      <w:r>
        <w:rPr>
          <w:noProof/>
        </w:rPr>
        <w:t>Article 1</w:t>
      </w:r>
    </w:p>
    <w:p>
      <w:pPr>
        <w:jc w:val="center"/>
        <w:rPr>
          <w:b/>
          <w:noProof/>
        </w:rPr>
      </w:pPr>
      <w:r>
        <w:rPr>
          <w:b/>
          <w:noProof/>
        </w:rPr>
        <w:t>Objet et finalité</w:t>
      </w:r>
    </w:p>
    <w:p>
      <w:pPr>
        <w:rPr>
          <w:noProof/>
        </w:rPr>
      </w:pPr>
      <w:r>
        <w:rPr>
          <w:noProof/>
        </w:rPr>
        <w:t>1.</w:t>
      </w:r>
      <w:r>
        <w:rPr>
          <w:noProof/>
        </w:rPr>
        <w:tab/>
        <w:t>Sous réserve des dispositions du présent accord, le contenu des articles 1</w:t>
      </w:r>
      <w:r>
        <w:rPr>
          <w:noProof/>
          <w:vertAlign w:val="superscript"/>
        </w:rPr>
        <w:t>er</w:t>
      </w:r>
      <w:r>
        <w:rPr>
          <w:noProof/>
        </w:rPr>
        <w:t xml:space="preserve"> à 24, de l'article 25, paragraphe 1, des articles 26 à 32 et de l'article 34 de la décision 2008/615/JAI du Conseil relative à l'approfondissement de la coopération transfrontalière, notamment en vue de lutter contre le terrorisme et la criminalité transfrontalière, s'applique dans les relations bilatérales entre la Principauté de Liechtenstein et chacun des États membres de l'Union européenne.</w:t>
      </w:r>
    </w:p>
    <w:p>
      <w:pPr>
        <w:rPr>
          <w:noProof/>
        </w:rPr>
      </w:pPr>
      <w:r>
        <w:rPr>
          <w:noProof/>
        </w:rPr>
        <w:t>2.</w:t>
      </w:r>
      <w:r>
        <w:rPr>
          <w:noProof/>
        </w:rPr>
        <w:tab/>
        <w:t>Sous réserve des dispositions du présent accord, le contenu des articles 1</w:t>
      </w:r>
      <w:r>
        <w:rPr>
          <w:noProof/>
          <w:vertAlign w:val="superscript"/>
        </w:rPr>
        <w:t>er</w:t>
      </w:r>
      <w:r>
        <w:rPr>
          <w:noProof/>
        </w:rPr>
        <w:t xml:space="preserve"> à 19 et de l'article 21 de la décision 2008/616/JAI du Conseil concernant la mise en œuvre de la décision 2008/615/JAI relative à l'approfondissement de la coopération transfrontalière, notamment en vue de lutter contre le terrorisme et la criminalité transfrontalière, y compris de son annexe excepté le point 1 du chapitre 4 de celle-ci, s'applique dans les relations visées au paragraphe 1.</w:t>
      </w:r>
    </w:p>
    <w:p>
      <w:pPr>
        <w:rPr>
          <w:noProof/>
        </w:rPr>
      </w:pPr>
      <w:r>
        <w:rPr>
          <w:noProof/>
        </w:rPr>
        <w:t>3.</w:t>
      </w:r>
      <w:r>
        <w:rPr>
          <w:noProof/>
        </w:rPr>
        <w:tab/>
        <w:t>Les déclarations faites par les États membres au titre des décisions 2008/616/JAI et 2008/615/JAI sont aussi applicables dans leurs relations avec la Principauté de Liechtenstein.</w:t>
      </w:r>
    </w:p>
    <w:p>
      <w:pPr>
        <w:rPr>
          <w:noProof/>
        </w:rPr>
      </w:pPr>
      <w:r>
        <w:rPr>
          <w:noProof/>
        </w:rPr>
        <w:t>4.</w:t>
      </w:r>
      <w:r>
        <w:rPr>
          <w:noProof/>
        </w:rPr>
        <w:tab/>
        <w:t>Sous réserve des dispositions du présent accord, le contenu des articles 1</w:t>
      </w:r>
      <w:r>
        <w:rPr>
          <w:noProof/>
          <w:vertAlign w:val="superscript"/>
        </w:rPr>
        <w:t>er</w:t>
      </w:r>
      <w:r>
        <w:rPr>
          <w:noProof/>
        </w:rPr>
        <w:t xml:space="preserve"> à 5 et de l’article 6, paragraphe 1, de la décision-cadre 2009/905/JAI du Conseil relative à l’accréditation des prestataires de services de police scientifique menant des activités de laboratoire s’applique dans les relations visées au paragraphe 1. </w:t>
      </w:r>
    </w:p>
    <w:p>
      <w:pPr>
        <w:rPr>
          <w:noProof/>
        </w:rPr>
      </w:pPr>
    </w:p>
    <w:p>
      <w:pPr>
        <w:jc w:val="center"/>
        <w:rPr>
          <w:noProof/>
        </w:rPr>
      </w:pPr>
      <w:r>
        <w:rPr>
          <w:noProof/>
        </w:rPr>
        <w:t>Article 2</w:t>
      </w:r>
    </w:p>
    <w:p>
      <w:pPr>
        <w:jc w:val="center"/>
        <w:rPr>
          <w:b/>
          <w:noProof/>
        </w:rPr>
      </w:pPr>
      <w:r>
        <w:rPr>
          <w:b/>
          <w:noProof/>
        </w:rPr>
        <w:t>Définitions</w:t>
      </w:r>
    </w:p>
    <w:p>
      <w:pPr>
        <w:rPr>
          <w:noProof/>
        </w:rPr>
      </w:pPr>
      <w:r>
        <w:rPr>
          <w:noProof/>
        </w:rPr>
        <w:t>1.</w:t>
      </w:r>
      <w:r>
        <w:rPr>
          <w:noProof/>
        </w:rPr>
        <w:tab/>
        <w:t>Aux fins du présent accord, on entend par: «parties contractantes», l’Union européenne et la Principauté de Liechtenstein;</w:t>
      </w:r>
    </w:p>
    <w:p>
      <w:pPr>
        <w:rPr>
          <w:noProof/>
        </w:rPr>
      </w:pPr>
      <w:r>
        <w:rPr>
          <w:noProof/>
        </w:rPr>
        <w:t>2.</w:t>
      </w:r>
      <w:r>
        <w:rPr>
          <w:noProof/>
        </w:rPr>
        <w:tab/>
        <w:t>«État membre», un État membre de l’Union européenne;</w:t>
      </w:r>
    </w:p>
    <w:p>
      <w:pPr>
        <w:rPr>
          <w:noProof/>
        </w:rPr>
      </w:pPr>
      <w:r>
        <w:rPr>
          <w:noProof/>
        </w:rPr>
        <w:t>3.</w:t>
      </w:r>
      <w:r>
        <w:rPr>
          <w:noProof/>
        </w:rPr>
        <w:tab/>
        <w:t>«État», un État membre ou la Principauté de Liechtenstein.</w:t>
      </w:r>
    </w:p>
    <w:p>
      <w:pPr>
        <w:rPr>
          <w:noProof/>
        </w:rPr>
      </w:pPr>
    </w:p>
    <w:p>
      <w:pPr>
        <w:jc w:val="center"/>
        <w:rPr>
          <w:noProof/>
        </w:rPr>
      </w:pPr>
      <w:r>
        <w:rPr>
          <w:noProof/>
        </w:rPr>
        <w:t>Article 3</w:t>
      </w:r>
    </w:p>
    <w:p>
      <w:pPr>
        <w:jc w:val="center"/>
        <w:rPr>
          <w:b/>
          <w:noProof/>
        </w:rPr>
      </w:pPr>
      <w:r>
        <w:rPr>
          <w:b/>
          <w:noProof/>
        </w:rPr>
        <w:t>Application et interprétation uniformes</w:t>
      </w:r>
    </w:p>
    <w:p>
      <w:pPr>
        <w:rPr>
          <w:noProof/>
        </w:rPr>
      </w:pPr>
      <w:r>
        <w:rPr>
          <w:noProof/>
        </w:rPr>
        <w:t>1.</w:t>
      </w:r>
      <w:r>
        <w:rPr>
          <w:noProof/>
        </w:rPr>
        <w:tab/>
        <w:t>Pour réaliser l'objectif de parvenir à une application et à une interprétation aussi uniformes que possible des dispositions mentionnées à l'article 1, les parties contractantes observent en permanence l'évolution de la jurisprudence de la Cour de justice de l’Union européenne, ainsi que l'évolution de la jurisprudence des juridictions de la Principauté de Liechtenstein compétentes en ce qui concerne ces dispositions. Un mécanisme destiné à garantir la transmission mutuelle régulière de cette jurisprudence est institué à cette fin.</w:t>
      </w:r>
    </w:p>
    <w:p>
      <w:pPr>
        <w:rPr>
          <w:noProof/>
        </w:rPr>
      </w:pPr>
      <w:r>
        <w:rPr>
          <w:noProof/>
        </w:rPr>
        <w:t>2.</w:t>
      </w:r>
      <w:r>
        <w:rPr>
          <w:noProof/>
        </w:rPr>
        <w:tab/>
        <w:t>La Principauté de Liechtenstein a la faculté de présenter des mémoires ou des observations écrites à la Cour de justice lorsqu'une juridiction d'un État membre saisit celle-ci d'une question préjudicielle concernant l'interprétation d'une disposition mentionnée à l'article 1.</w:t>
      </w:r>
    </w:p>
    <w:p>
      <w:pPr>
        <w:rPr>
          <w:noProof/>
        </w:rPr>
      </w:pPr>
    </w:p>
    <w:p>
      <w:pPr>
        <w:jc w:val="center"/>
        <w:rPr>
          <w:noProof/>
        </w:rPr>
      </w:pPr>
      <w:r>
        <w:rPr>
          <w:noProof/>
        </w:rPr>
        <w:t>Article 4</w:t>
      </w:r>
    </w:p>
    <w:p>
      <w:pPr>
        <w:jc w:val="center"/>
        <w:rPr>
          <w:b/>
          <w:noProof/>
        </w:rPr>
      </w:pPr>
      <w:r>
        <w:rPr>
          <w:b/>
          <w:noProof/>
        </w:rPr>
        <w:t>Règlement des litiges</w:t>
      </w:r>
    </w:p>
    <w:p>
      <w:pPr>
        <w:rPr>
          <w:noProof/>
        </w:rPr>
      </w:pPr>
      <w:r>
        <w:rPr>
          <w:noProof/>
        </w:rPr>
        <w:t>Tout litige entre la Principauté de Liechtenstein et un État membre concernant l'interprétation ou l'application du présent accord ou d'une des dispositions mentionnées à l'article 1 ainsi que des modifications les concernant peut être soumis par une partie au litige lors d'une réunion des représentants des gouvernements des États membres et de la Principauté de Liechtenstein, en vue de son règlement rapide.</w:t>
      </w:r>
    </w:p>
    <w:p>
      <w:pPr>
        <w:rPr>
          <w:noProof/>
        </w:rPr>
      </w:pPr>
    </w:p>
    <w:p>
      <w:pPr>
        <w:jc w:val="center"/>
        <w:rPr>
          <w:noProof/>
        </w:rPr>
      </w:pPr>
      <w:r>
        <w:rPr>
          <w:noProof/>
        </w:rPr>
        <w:t>Article 5</w:t>
      </w:r>
    </w:p>
    <w:p>
      <w:pPr>
        <w:jc w:val="center"/>
        <w:rPr>
          <w:b/>
          <w:noProof/>
        </w:rPr>
      </w:pPr>
      <w:r>
        <w:rPr>
          <w:b/>
          <w:noProof/>
        </w:rPr>
        <w:t>Modifications</w:t>
      </w:r>
    </w:p>
    <w:p>
      <w:pPr>
        <w:rPr>
          <w:noProof/>
        </w:rPr>
      </w:pPr>
      <w:r>
        <w:rPr>
          <w:noProof/>
        </w:rPr>
        <w:t>1.</w:t>
      </w:r>
      <w:r>
        <w:rPr>
          <w:noProof/>
        </w:rPr>
        <w:tab/>
        <w:t>Dans le cas où une modification des dispositions mentionnées à l’article 1 est rendue nécessaire, l’Union européenne en informe la Principauté de Liechtenstein dès que possible et recueille ses observations éventuelles.</w:t>
      </w:r>
    </w:p>
    <w:p>
      <w:pPr>
        <w:rPr>
          <w:noProof/>
        </w:rPr>
      </w:pPr>
      <w:r>
        <w:rPr>
          <w:noProof/>
        </w:rPr>
        <w:t>2.</w:t>
      </w:r>
      <w:r>
        <w:rPr>
          <w:noProof/>
        </w:rPr>
        <w:tab/>
        <w:t>Toute modification des dispositions mentionnées à l’article 1 est notifiée, dès son adoption, par l’Union européenne à la Principauté de Liechtenstein.</w:t>
      </w:r>
    </w:p>
    <w:p>
      <w:pPr>
        <w:rPr>
          <w:noProof/>
        </w:rPr>
      </w:pPr>
      <w:r>
        <w:rPr>
          <w:noProof/>
        </w:rPr>
        <w:t>La Principauté de Liechtenstein se prononce indépendamment sur l’acceptation du contenu de la modification et sur sa transposition dans son ordre juridique interne. Cette décision est notifiée à l’Union européenne dans un délai de trois mois à compter de la notification.</w:t>
      </w:r>
    </w:p>
    <w:p>
      <w:pPr>
        <w:rPr>
          <w:noProof/>
        </w:rPr>
      </w:pPr>
      <w:r>
        <w:rPr>
          <w:noProof/>
        </w:rPr>
        <w:t>3.</w:t>
      </w:r>
      <w:r>
        <w:rPr>
          <w:noProof/>
        </w:rPr>
        <w:tab/>
        <w:t>Si le contenu de la modification ne peut lier la Principauté de Liechtenstein qu’après la satisfaction d’exigences constitutionnelles, la Principauté de Liechtenstein en informe l’Union européenne lors de la notification. La Principauté de Liechtenstein informe sans délai et par écrit l’Union européenne de la satisfaction des exigences constitutionnelles. Au cas où un référendum n’est pas demandé, la notification a lieu immédiatement à l’échéance du délai référendaire. Si un référendum est demandé, la Principauté de Liechtenstein dispose, pour procéder à la notification, d’un délai de deux ans au maximum à compter de la notification de l’Union européenne. À partir de la date fixée pour l’entrée en vigueur de la modification à l'égard de la Principauté de Liechtenstein et jusqu’à la notification de la satisfaction de ses exigences constitutionnelles, la Principauté de Liechtenstein applique provisoirement, dans la mesure du possible, le contenu de la modification.</w:t>
      </w:r>
    </w:p>
    <w:p>
      <w:pPr>
        <w:rPr>
          <w:noProof/>
        </w:rPr>
      </w:pPr>
      <w:r>
        <w:rPr>
          <w:noProof/>
        </w:rPr>
        <w:t>4.</w:t>
      </w:r>
      <w:r>
        <w:rPr>
          <w:noProof/>
        </w:rPr>
        <w:tab/>
        <w:t>Si la Principauté de Liechtenstein n’accepte pas la modification, le présent accord est suspendu. Une réunion des parties contractantes est convoquée aux fins d'examiner toute possibilité de continuer d'appliquer l'accord, y compris par la voie d'une reconnaissance de l'équivalence des législations. La suspension est levée dès que la Principauté de Liechtenstein communique son acceptation de la modification ou si les parties contractantes décident entre elles d’appliquer à nouveau le présent accord.</w:t>
      </w:r>
    </w:p>
    <w:p>
      <w:pPr>
        <w:rPr>
          <w:noProof/>
        </w:rPr>
      </w:pPr>
      <w:r>
        <w:rPr>
          <w:noProof/>
        </w:rPr>
        <w:t>5.</w:t>
      </w:r>
      <w:r>
        <w:rPr>
          <w:noProof/>
        </w:rPr>
        <w:tab/>
        <w:t>Si, à l’expiration de la période de six mois de suspension, les parties contractantes n’ont pas décidé de l’appliquer à nouveau, il est mis fin au présent accord.</w:t>
      </w:r>
    </w:p>
    <w:p>
      <w:pPr>
        <w:rPr>
          <w:noProof/>
        </w:rPr>
      </w:pPr>
      <w:r>
        <w:rPr>
          <w:noProof/>
        </w:rPr>
        <w:t>6.</w:t>
      </w:r>
      <w:r>
        <w:rPr>
          <w:noProof/>
        </w:rPr>
        <w:tab/>
        <w:t>Les paragraphes 4 et 5 ne s’appliquent pas aux modifications apportées aux chapitres 3, 4 et 5 de la décision 2008/615/JAI du Conseil ni aux modifications apportées à l’article 17 de la décision 2008/616/JAI du Conseil, que la Principauté de Liechtenstein a signalées à l’Union européenne comme ne pouvant être acceptées en en donnant les raisons. Dans ce cas, et sans préjudice de l’article 10, la teneur des dispositions pertinentes dans leur version antérieure à la modification continuera de s’appliquer dans les relations entre la Principauté de Liechtenstein et les États membres.</w:t>
      </w:r>
    </w:p>
    <w:p>
      <w:pPr>
        <w:rPr>
          <w:noProof/>
        </w:rPr>
      </w:pPr>
    </w:p>
    <w:p>
      <w:pPr>
        <w:jc w:val="center"/>
        <w:rPr>
          <w:noProof/>
        </w:rPr>
      </w:pPr>
      <w:r>
        <w:rPr>
          <w:noProof/>
        </w:rPr>
        <w:t>Article 6</w:t>
      </w:r>
    </w:p>
    <w:p>
      <w:pPr>
        <w:jc w:val="center"/>
        <w:rPr>
          <w:b/>
          <w:noProof/>
        </w:rPr>
      </w:pPr>
      <w:r>
        <w:rPr>
          <w:b/>
          <w:noProof/>
        </w:rPr>
        <w:t>Réexamen</w:t>
      </w:r>
    </w:p>
    <w:p>
      <w:pPr>
        <w:rPr>
          <w:noProof/>
        </w:rPr>
      </w:pPr>
      <w:r>
        <w:rPr>
          <w:noProof/>
        </w:rPr>
        <w:t>Les parties contractantes conviennent de procéder à un réexamen commun du présent accord au plus tard cinq ans après son entrée en vigueur. Ce réexamen porte notamment sur la mise en œuvre concrète, l'interprétation et l'évolution de l'accord et a également trait à des questions telles que les conséquences du développement de l'Union européenne en ce qui concerne l'objet du présent accord.</w:t>
      </w:r>
    </w:p>
    <w:p>
      <w:pPr>
        <w:rPr>
          <w:noProof/>
        </w:rPr>
      </w:pPr>
    </w:p>
    <w:p>
      <w:pPr>
        <w:jc w:val="center"/>
        <w:rPr>
          <w:noProof/>
        </w:rPr>
      </w:pPr>
      <w:r>
        <w:rPr>
          <w:noProof/>
        </w:rPr>
        <w:t>Article 7</w:t>
      </w:r>
    </w:p>
    <w:p>
      <w:pPr>
        <w:jc w:val="center"/>
        <w:rPr>
          <w:b/>
          <w:noProof/>
        </w:rPr>
      </w:pPr>
      <w:r>
        <w:rPr>
          <w:b/>
          <w:noProof/>
        </w:rPr>
        <w:t>Relation avec d'autres instruments</w:t>
      </w:r>
    </w:p>
    <w:p>
      <w:pPr>
        <w:rPr>
          <w:noProof/>
        </w:rPr>
      </w:pPr>
      <w:r>
        <w:rPr>
          <w:noProof/>
        </w:rPr>
        <w:t>1.</w:t>
      </w:r>
      <w:r>
        <w:rPr>
          <w:noProof/>
        </w:rPr>
        <w:tab/>
        <w:t>La Principauté de Liechtenstein peut continuer d'appliquer les accords ou arrangements bilatéraux ou multilatéraux en matière de coopération transfrontière avec des États membres qui sont en vigueur à la date de la conclusion du présent accord, pour autant que ces accords ou arrangements ne soient pas incompatibles avec les objectifs du présent accord. La Principauté de Liechtenstein notifie à l’Union européenne les accords ou arrangements qui continueront de s'appliquer.</w:t>
      </w:r>
    </w:p>
    <w:p>
      <w:pPr>
        <w:rPr>
          <w:noProof/>
        </w:rPr>
      </w:pPr>
      <w:r>
        <w:rPr>
          <w:noProof/>
        </w:rPr>
        <w:t>2.</w:t>
      </w:r>
      <w:r>
        <w:rPr>
          <w:noProof/>
        </w:rPr>
        <w:tab/>
        <w:t>Après l'entrée en vigueur du présent accord, la Principauté de Liechtenstein peut conclure d'autres accords ou arrangements bilatéraux ou multilatéraux en matière de coopération transfrontière avec des États membres, ou leur donner effet, pour autant que ces accords ou arrangements prévoient d'étendre ou d'élargir les objectifs du présent accord. La Principauté de Liechtenstein notifie ces nouveaux accords ou arrangements à l’Union européenne dans les trois mois qui suivent leur signature ou, s'il s'agit d'instruments signés avant l'entrée en vigueur du présent accord, dans les trois mois qui suivent leur entrée en vigueur.</w:t>
      </w:r>
    </w:p>
    <w:p>
      <w:pPr>
        <w:rPr>
          <w:noProof/>
        </w:rPr>
      </w:pPr>
      <w:r>
        <w:rPr>
          <w:noProof/>
        </w:rPr>
        <w:t>3.</w:t>
      </w:r>
      <w:r>
        <w:rPr>
          <w:noProof/>
        </w:rPr>
        <w:tab/>
        <w:t>Les accords et arrangements visés aux paragraphes 1 et 2 ne peuvent porter préjudice aux relations avec des États membres qui n'y sont pas parties.</w:t>
      </w:r>
    </w:p>
    <w:p>
      <w:pPr>
        <w:rPr>
          <w:noProof/>
        </w:rPr>
      </w:pPr>
      <w:r>
        <w:rPr>
          <w:noProof/>
        </w:rPr>
        <w:t>4.</w:t>
      </w:r>
      <w:r>
        <w:rPr>
          <w:noProof/>
        </w:rPr>
        <w:tab/>
        <w:t>Le présent accord ne porte pas préjudice aux accords existants en matière d'assistance judiciaire ou de reconnaissance mutuelle des décisions de justice.</w:t>
      </w:r>
    </w:p>
    <w:p>
      <w:pPr>
        <w:rPr>
          <w:noProof/>
        </w:rPr>
      </w:pPr>
    </w:p>
    <w:p>
      <w:pPr>
        <w:jc w:val="center"/>
        <w:rPr>
          <w:noProof/>
        </w:rPr>
      </w:pPr>
      <w:r>
        <w:rPr>
          <w:noProof/>
        </w:rPr>
        <w:t>Article 8</w:t>
      </w:r>
    </w:p>
    <w:p>
      <w:pPr>
        <w:jc w:val="center"/>
        <w:rPr>
          <w:b/>
          <w:noProof/>
        </w:rPr>
      </w:pPr>
      <w:r>
        <w:rPr>
          <w:b/>
          <w:noProof/>
        </w:rPr>
        <w:t>Notifications, déclarations et entrée en vigueur</w:t>
      </w:r>
    </w:p>
    <w:p>
      <w:pPr>
        <w:rPr>
          <w:noProof/>
        </w:rPr>
      </w:pPr>
      <w:r>
        <w:rPr>
          <w:noProof/>
        </w:rPr>
        <w:t>1.</w:t>
      </w:r>
      <w:r>
        <w:rPr>
          <w:noProof/>
        </w:rPr>
        <w:tab/>
        <w:t>Les parties contractantes se notifient mutuellement l'accomplissement des procédures requises pour exprimer leur consentement à être liées par le présent accord.</w:t>
      </w:r>
    </w:p>
    <w:p>
      <w:pPr>
        <w:rPr>
          <w:noProof/>
        </w:rPr>
      </w:pPr>
      <w:r>
        <w:rPr>
          <w:noProof/>
        </w:rPr>
        <w:t>2.</w:t>
      </w:r>
      <w:r>
        <w:rPr>
          <w:noProof/>
        </w:rPr>
        <w:tab/>
        <w:t>L’Union européenne peut donner son consentement à être liée par le présent accord même si les décisions concernant le traitement des données à caractère personnel qui sont ou qui ont été transmises en application de la décision 2008/615/JAI n’ont pas encore été prises à l'égard de tous les États membres.</w:t>
      </w:r>
    </w:p>
    <w:p>
      <w:pPr>
        <w:rPr>
          <w:noProof/>
        </w:rPr>
      </w:pPr>
      <w:r>
        <w:rPr>
          <w:noProof/>
        </w:rPr>
        <w:t>3.</w:t>
      </w:r>
      <w:r>
        <w:rPr>
          <w:noProof/>
        </w:rPr>
        <w:tab/>
        <w:t>L'article 5, paragraphes 1 et 2, s'applique provisoirement à partir de la date de la signature du présent accord.</w:t>
      </w:r>
    </w:p>
    <w:p>
      <w:pPr>
        <w:rPr>
          <w:noProof/>
        </w:rPr>
      </w:pPr>
      <w:r>
        <w:rPr>
          <w:noProof/>
        </w:rPr>
        <w:t>4.</w:t>
      </w:r>
      <w:r>
        <w:rPr>
          <w:noProof/>
        </w:rPr>
        <w:tab/>
        <w:t>Le délai de trois mois mentionné dans la dernière phrase de l'article 5, paragraphe 2, relative aux modifications apportées après la signature du présent accord mais avant son entrée en vigueur, commence à courir le jour de l'entrée en vigueur du présent accord.</w:t>
      </w:r>
    </w:p>
    <w:p>
      <w:pPr>
        <w:rPr>
          <w:noProof/>
        </w:rPr>
      </w:pPr>
      <w:r>
        <w:rPr>
          <w:noProof/>
        </w:rPr>
        <w:t>5.</w:t>
      </w:r>
      <w:r>
        <w:rPr>
          <w:noProof/>
        </w:rPr>
        <w:tab/>
        <w:t>Lors de la notification visée au paragraphe 1 ou, si cela est prévu, à tout moment ultérieur, la Principauté de Liechtenstein fait les déclarations prévues par le présent accord.</w:t>
      </w:r>
    </w:p>
    <w:p>
      <w:pPr>
        <w:rPr>
          <w:noProof/>
        </w:rPr>
      </w:pPr>
      <w:r>
        <w:rPr>
          <w:noProof/>
        </w:rPr>
        <w:t>6.</w:t>
      </w:r>
      <w:r>
        <w:rPr>
          <w:noProof/>
        </w:rPr>
        <w:tab/>
        <w:t>Le présent accord entre en vigueur le premier jour du troisième mois suivant la date de la dernière notification visée au paragraphe 1.</w:t>
      </w:r>
    </w:p>
    <w:p>
      <w:pPr>
        <w:rPr>
          <w:noProof/>
        </w:rPr>
      </w:pPr>
      <w:r>
        <w:rPr>
          <w:noProof/>
        </w:rPr>
        <w:t>7.</w:t>
      </w:r>
      <w:r>
        <w:rPr>
          <w:noProof/>
        </w:rPr>
        <w:tab/>
        <w:t>La transmission par les États membres et la Principauté de Liechtenstein de données à caractère personnel en vertu du présent accord ne peut avoir lieu qu'après que les dispositions du chapitre 6 de la décision 2008/615/JAI du Conseil auront été mises en œuvre dans le droit national des États concernés par cette transmission.</w:t>
      </w:r>
    </w:p>
    <w:p>
      <w:pPr>
        <w:rPr>
          <w:noProof/>
        </w:rPr>
      </w:pPr>
      <w:r>
        <w:rPr>
          <w:noProof/>
        </w:rPr>
        <w:t>8.</w:t>
      </w:r>
      <w:r>
        <w:rPr>
          <w:noProof/>
        </w:rPr>
        <w:tab/>
        <w:t>En vue de vérifier si tel est le cas de la Principauté de Liechtenstein, une visite d'évaluation et un essai pilote en conditions réelles sont effectués conformément aux conditions et modalités convenues avec la Principauté de Liechtenstein et identiques à ceux conclus à l'égard des États membres en application du chapitre 4 de l'annexe de la décision 2008/616/JAI du Conseil.</w:t>
      </w:r>
    </w:p>
    <w:p>
      <w:pPr>
        <w:rPr>
          <w:noProof/>
        </w:rPr>
      </w:pPr>
      <w:r>
        <w:rPr>
          <w:noProof/>
        </w:rPr>
        <w:t>Sur la base d’un rapport d’évaluation général, et suivant les mêmes étapes que pour le lancement des échanges de données automatisés dans les États membres, le Conseil détermine la ou les dates à partir desquelles les États membres peuvent communiquer des données à caractère personnel à la Principauté de Liechtenstein au titre du présent accord.</w:t>
      </w:r>
    </w:p>
    <w:p>
      <w:pPr>
        <w:rPr>
          <w:noProof/>
        </w:rPr>
      </w:pPr>
      <w:r>
        <w:rPr>
          <w:noProof/>
        </w:rPr>
        <w:t>9.</w:t>
      </w:r>
      <w:r>
        <w:rPr>
          <w:noProof/>
        </w:rPr>
        <w:tab/>
        <w:t>Les dispositions de la directive (UE) 2016/680 du Parlement européen et du Conseil sont mises en œuvre et appliquées par la Principauté de Liechtenstein. La Principauté de Liechtenstein communique à la Commission européenne le texte des dispositions essentielles qu’elle adopte dans le domaine régi par ladite directive.</w:t>
      </w:r>
    </w:p>
    <w:p>
      <w:pPr>
        <w:rPr>
          <w:noProof/>
        </w:rPr>
      </w:pPr>
      <w:r>
        <w:rPr>
          <w:noProof/>
        </w:rPr>
        <w:t>10.</w:t>
      </w:r>
      <w:r>
        <w:rPr>
          <w:noProof/>
        </w:rPr>
        <w:tab/>
        <w:t>Les dispositions de la décision-cadre 2009/905/JAI du Conseil mentionnées à l’article 1, paragraphe 4, sont mises en œuvre et appliquées par la Principauté de Liechtenstein. La Principauté de Liechtenstein communique à la Commission européenne le texte des dispositions essentielles qu’elle adopte dans le domaine régi par ladite décision-cadre du Conseil.</w:t>
      </w:r>
    </w:p>
    <w:p>
      <w:pPr>
        <w:rPr>
          <w:noProof/>
        </w:rPr>
      </w:pPr>
      <w:r>
        <w:rPr>
          <w:noProof/>
        </w:rPr>
        <w:t>11.</w:t>
      </w:r>
      <w:r>
        <w:rPr>
          <w:noProof/>
        </w:rPr>
        <w:tab/>
        <w:t>Les autorités compétentes de la Principauté de Liechtenstein ne peuvent pas appliquer les dispositions du chapitre 2 de la décision 2008/615/JAI du Conseil avant que la Principauté de Liechtenstein n’ait transposé et appliqué les mesures visées aux paragraphes 9 et 10.</w:t>
      </w:r>
    </w:p>
    <w:p>
      <w:pPr>
        <w:jc w:val="center"/>
        <w:rPr>
          <w:noProof/>
        </w:rPr>
      </w:pPr>
    </w:p>
    <w:p>
      <w:pPr>
        <w:jc w:val="center"/>
        <w:rPr>
          <w:noProof/>
        </w:rPr>
      </w:pPr>
      <w:r>
        <w:rPr>
          <w:noProof/>
        </w:rPr>
        <w:t>Article 9</w:t>
      </w:r>
    </w:p>
    <w:p>
      <w:pPr>
        <w:jc w:val="center"/>
        <w:rPr>
          <w:b/>
          <w:noProof/>
        </w:rPr>
      </w:pPr>
      <w:r>
        <w:rPr>
          <w:b/>
          <w:noProof/>
        </w:rPr>
        <w:t>Adhésion</w:t>
      </w:r>
    </w:p>
    <w:p>
      <w:pPr>
        <w:rPr>
          <w:noProof/>
        </w:rPr>
      </w:pPr>
      <w:r>
        <w:rPr>
          <w:noProof/>
        </w:rPr>
        <w:t>L'adhésion de nouveaux États membres à l'Union européenne crée, au titre du présent accord, des droits et obligations entre ces nouveaux États membres et la Principauté de Liechtenstein.</w:t>
      </w:r>
    </w:p>
    <w:p>
      <w:pPr>
        <w:rPr>
          <w:noProof/>
        </w:rPr>
      </w:pPr>
    </w:p>
    <w:p>
      <w:pPr>
        <w:jc w:val="center"/>
        <w:rPr>
          <w:noProof/>
        </w:rPr>
      </w:pPr>
      <w:r>
        <w:rPr>
          <w:noProof/>
        </w:rPr>
        <w:t>Article 10</w:t>
      </w:r>
    </w:p>
    <w:p>
      <w:pPr>
        <w:jc w:val="center"/>
        <w:rPr>
          <w:b/>
          <w:noProof/>
        </w:rPr>
      </w:pPr>
      <w:r>
        <w:rPr>
          <w:b/>
          <w:noProof/>
        </w:rPr>
        <w:t>Dénonciation</w:t>
      </w:r>
    </w:p>
    <w:p>
      <w:pPr>
        <w:rPr>
          <w:noProof/>
        </w:rPr>
      </w:pPr>
      <w:r>
        <w:rPr>
          <w:noProof/>
        </w:rPr>
        <w:t>1.</w:t>
      </w:r>
      <w:r>
        <w:rPr>
          <w:noProof/>
        </w:rPr>
        <w:tab/>
        <w:t xml:space="preserve">Le présent accord peut être dénoncé à tout moment par l'une des parties contractantes. </w:t>
      </w:r>
    </w:p>
    <w:p>
      <w:pPr>
        <w:rPr>
          <w:noProof/>
        </w:rPr>
      </w:pPr>
      <w:r>
        <w:rPr>
          <w:noProof/>
        </w:rPr>
        <w:t>2.</w:t>
      </w:r>
      <w:r>
        <w:rPr>
          <w:noProof/>
        </w:rPr>
        <w:tab/>
        <w:t>La dénonciation du présent accord conformément au paragraphe 1 prend effet six mois après le dépôt de sa notification.</w:t>
      </w:r>
    </w:p>
    <w:p>
      <w:pPr>
        <w:rPr>
          <w:noProof/>
        </w:rPr>
      </w:pPr>
    </w:p>
    <w:p>
      <w:pPr>
        <w:rPr>
          <w:noProof/>
        </w:rPr>
      </w:pPr>
      <w:r>
        <w:rPr>
          <w:noProof/>
        </w:rPr>
        <w:t xml:space="preserve">Fait à INSÉRER, le DATE en deux exemplaires, en langues allemande, anglaise, bulgare, croate, danoise, espagnole, estonienne, finnoise, française, grecque, hongroise, italienne, lettone, lituanienne, maltaise, néerlandaise, polonaise, portugaise, roumaine, slovaque, slovène, suédoise et tchèque, tous les textes faisant également foi. </w:t>
      </w:r>
    </w:p>
    <w:p>
      <w:pPr>
        <w:rPr>
          <w:noProof/>
        </w:rPr>
      </w:pPr>
    </w:p>
    <w:p>
      <w:pPr>
        <w:rPr>
          <w:noProof/>
        </w:rPr>
      </w:pPr>
    </w:p>
    <w:p>
      <w:pPr>
        <w:rPr>
          <w:noProof/>
        </w:rPr>
      </w:pPr>
      <w:r>
        <w:rPr>
          <w:noProof/>
        </w:rPr>
        <w:t xml:space="preserve">Pour l'Union européenne </w:t>
      </w:r>
    </w:p>
    <w:p>
      <w:pPr>
        <w:rPr>
          <w:noProof/>
        </w:rPr>
      </w:pPr>
    </w:p>
    <w:p>
      <w:pPr>
        <w:rPr>
          <w:noProof/>
        </w:rPr>
      </w:pPr>
    </w:p>
    <w:p>
      <w:pPr>
        <w:rPr>
          <w:noProof/>
        </w:rPr>
      </w:pPr>
    </w:p>
    <w:p>
      <w:pPr>
        <w:rPr>
          <w:noProof/>
        </w:rPr>
      </w:pPr>
    </w:p>
    <w:p>
      <w:pPr>
        <w:rPr>
          <w:noProof/>
        </w:rPr>
      </w:pPr>
    </w:p>
    <w:p>
      <w:pPr>
        <w:rPr>
          <w:noProof/>
        </w:rPr>
      </w:pPr>
      <w:r>
        <w:rPr>
          <w:noProof/>
        </w:rPr>
        <w:t>Pour la Principauté de Liechtenstein</w:t>
      </w:r>
    </w:p>
    <w:p>
      <w:pPr>
        <w:rPr>
          <w:noProof/>
        </w:rPr>
        <w:sectPr>
          <w:pgSz w:w="11907" w:h="16839"/>
          <w:pgMar w:top="1134" w:right="1417" w:bottom="1134" w:left="1417" w:header="709" w:footer="709" w:gutter="0"/>
          <w:cols w:space="720"/>
          <w:docGrid w:linePitch="360"/>
        </w:sectPr>
      </w:pPr>
    </w:p>
    <w:p>
      <w:pPr>
        <w:rPr>
          <w:noProof/>
        </w:rPr>
      </w:pPr>
      <w:r>
        <w:rPr>
          <w:noProof/>
        </w:rPr>
        <w:t xml:space="preserve">DÉCLARATION À ADOPTER À L’OCCASION DE LA SIGNATURE DE L’ACCORD </w:t>
      </w:r>
    </w:p>
    <w:p>
      <w:pPr>
        <w:rPr>
          <w:noProof/>
        </w:rPr>
      </w:pPr>
    </w:p>
    <w:p>
      <w:pPr>
        <w:rPr>
          <w:noProof/>
        </w:rPr>
      </w:pPr>
      <w:r>
        <w:rPr>
          <w:noProof/>
        </w:rPr>
        <w:t>L’Union européenne et la Principauté de Liechtenstein, parties contractantes à l’accord pour l’application de certaines des dispositions de la décision 2008/615/JAI du Conseil relative à l’approfondissement de la coopération transfrontalière, notamment en vue de lutter contre le terrorisme et la criminalité transfrontalière, de la décision 2008/616/JAI du Conseil concernant la mise en œuvre de la décision 2008/615/JAI relative à l’approfondissement de la coopération transfrontalière, notamment en vue de lutter contre le terrorisme et la criminalité transfrontalière, y compris son annexe, et de la décision-cadre 2009/905/JAI du Conseil relative à l’accréditation des prestataires de services de police scientifique menant des activités de laboratoire (ci-après dénommé l’«accord»),</w:t>
      </w:r>
    </w:p>
    <w:p>
      <w:pPr>
        <w:rPr>
          <w:noProof/>
        </w:rPr>
      </w:pPr>
    </w:p>
    <w:p>
      <w:pPr>
        <w:rPr>
          <w:noProof/>
        </w:rPr>
      </w:pPr>
      <w:r>
        <w:rPr>
          <w:noProof/>
        </w:rPr>
        <w:t>déclarent:</w:t>
      </w:r>
    </w:p>
    <w:p>
      <w:pPr>
        <w:rPr>
          <w:noProof/>
        </w:rPr>
      </w:pPr>
    </w:p>
    <w:p>
      <w:pPr>
        <w:rPr>
          <w:noProof/>
        </w:rPr>
      </w:pPr>
      <w:r>
        <w:rPr>
          <w:noProof/>
        </w:rPr>
        <w:t xml:space="preserve">La mise en œuvre des échanges de données relatives à l'ADN, aux empreintes digitales et à l'immatriculation des véhicules exigera que la Principauté de Liechtenstein établisse des connexions bilatérales pour chacune de ces catégories de données avec chacun des États membres. </w:t>
      </w:r>
    </w:p>
    <w:p>
      <w:pPr>
        <w:rPr>
          <w:noProof/>
        </w:rPr>
      </w:pPr>
      <w:r>
        <w:rPr>
          <w:noProof/>
        </w:rPr>
        <w:t>Pour permettre et faciliter cette opération, la Principauté de Liechtenstein recevra tout document disponible, logiciel et liste de contacts utiles. La Principauté de Liechtenstein aura la possibilité d’établir un partenariat informel avec les États membres qui ont déjà mis en œuvre de tels échanges de données, en vue de partager des expériences et d’obtenir une assistance pratique et technique. Les modalités de tels partenariats seront fixées lors de contacts directs avec les États membres concernés.</w:t>
      </w:r>
    </w:p>
    <w:p>
      <w:pPr>
        <w:rPr>
          <w:noProof/>
        </w:rPr>
      </w:pPr>
      <w:r>
        <w:rPr>
          <w:noProof/>
        </w:rPr>
        <w:t>Les experts liechtensteinois pourront à tout moment prendre contact avec la présidence du Conseil, la Commission européenne ou des experts reconnus dans ces domaines afin d'obtenir des informations, des clarifications ou tout autre type d’assistance. De même, lors de la préparation de propositions ou de communications nécessitant de prendre contact avec des représentants des États membres, la Commission pourra contacter également des représentants de la Principauté de Liechtenstein.</w:t>
      </w:r>
    </w:p>
    <w:p>
      <w:pPr>
        <w:rPr>
          <w:noProof/>
        </w:rPr>
      </w:pPr>
      <w:r>
        <w:rPr>
          <w:noProof/>
        </w:rPr>
        <w:t>Des experts liechtensteinois pourront être invités à participer aux réunions au cours desquelles les experts des États membres discuteront des aspects techniques relevant directement de l’application et du développement du contenu des décisions du Conseil susmentionnées.</w:t>
      </w: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B09A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7A33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0B3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A06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94F9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1A71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52D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DD478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4 14:47: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8672C2A-D606-43BB-9CEB-450F50276381"/>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ccord entre l\u8217?Union européenne et la République de Liechtenstein pour l\u8217?application de certaines des dispositions de la décision&lt;LWCR:NBS&gt;2008/615/JAI du Conseil relative à l\u8217?approfondissement de la coopération transfrontalière, notamment en vue de lutter contre le terrorisme et la criminalité transfrontalière, de la décision&lt;LWCR:NBS&gt;2008/616/JAI du Conseil concernant la mise en \u339?uvre de la décision&lt;LWCR:NBS&gt;2008/615/JAI relative à l\u8217?approfondissement de la coopération transfrontalière, notamment en vue de lutter contre le terrorisme et la criminalité transfrontalière, y compris son annexe, et de la décision-cadre&lt;LWCR:NBS&gt;2009/905/JAI du Conseil relative à l\u8217?accréditation des prestataires de services de police scientifique menant des activités de laboratoire"/>
    <w:docVar w:name="LW_OBJETACTEPRINCIPAL.CP" w:val="relative à la signature, au nom de l\u8217?Union européenne, de l\u8217?accord entre l\u8217?Union européenne et la République de Liechtenstein pour l\u8217?application de certaines des dispositions de la décision 2008/615/JAI du Conseil relative à l\u8217?approfondissement de la coopération transfrontalière, notamment en vue de lutter contre le terrorisme et la criminalité transfrontalière, de la décision 2008/616/JAI du Conseil concernant la mise en \u339?uvre de la décision 2008/615/JAI relative à l\u8217?approfondissement de la coopération transfrontalière, notamment en vue de lutter contre le terrorisme et la criminalité transfrontalière, y compris son annexe, et de la décision-cadre 2009/905/JAI du Conseil relative à l\u8217?accréditation des prestataires de services de police scientifique menant des activités de laboratoire"/>
    <w:docVar w:name="LW_PART_NBR" w:val="1"/>
    <w:docVar w:name="LW_PART_NBR_TOTAL" w:val="1"/>
    <w:docVar w:name="LW_REF.INST.NEW" w:val="COM"/>
    <w:docVar w:name="LW_REF.INST.NEW_ADOPTED" w:val="final"/>
    <w:docVar w:name="LW_REF.INST.NEW_TEXT" w:val="(2019)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11</Pages>
  <Words>3375</Words>
  <Characters>19644</Characters>
  <Application>Microsoft Office Word</Application>
  <DocSecurity>0</DocSecurity>
  <Lines>338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VERTMANN Merit (HOME)</dc:creator>
  <cp:keywords/>
  <dc:description/>
  <cp:lastModifiedBy>DIGIT/C6</cp:lastModifiedBy>
  <cp:revision>8</cp:revision>
  <dcterms:created xsi:type="dcterms:W3CDTF">2019-01-11T09:06:00Z</dcterms:created>
  <dcterms:modified xsi:type="dcterms:W3CDTF">2019-01-24T13:47:00Z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