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E360A51-F0D1-42D6-8488-695A4FA5256F" style="width:451.25pt;height:462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  <w:color w:val="000000"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Решение 2008/615/ПВР на Съвета от 23 юни 2008 г. за засилване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bCs/>
          <w:noProof/>
        </w:rPr>
        <w:footnoteReference w:id="1"/>
      </w:r>
      <w:r>
        <w:rPr>
          <w:noProof/>
        </w:rPr>
        <w:t xml:space="preserve"> („Решението „Прюм“) беше прието с цел разпоредбите на предходния Договор от Прюм относно засилването на трансграничното сътрудничество, по-специално в борбата срещу тероризма, трансграничната престъпност и незаконната миграция, сключен от седем европейски държави на 27 май 2005 г., да бъдат включени по същество в правната уредба на Европейския съюз. В същия ден Съветът прие и Решение 2008/616/ПВР от 23 юни 2008 г.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bCs/>
          <w:noProof/>
        </w:rPr>
        <w:footnoteReference w:id="2"/>
      </w:r>
      <w:r>
        <w:rPr>
          <w:noProof/>
        </w:rPr>
        <w:t xml:space="preserve"> („Решение за изпълнение на Решението „Прюм“), с което се установяват необходимите технически разпоредби за изпълнението на Решение 2008/615/ПВР. </w:t>
      </w:r>
    </w:p>
    <w:p>
      <w:pPr>
        <w:rPr>
          <w:noProof/>
        </w:rPr>
      </w:pPr>
      <w:r>
        <w:rPr>
          <w:noProof/>
        </w:rPr>
        <w:t xml:space="preserve">С Решението „Прюм“ и Решението за изпълнение на Решението „Прюм“ се цели да се подобри обменът на информация между органите, отговарящи за предотвратяването и разследването на престъпления, и да се засили трансграничното полицейско и съдебно сътрудничество между държавите — членки на Съюза. Решението „Прюм“ съдържа, inter alia, разпоредби, по силата на които държавите членки си предоставят взаимно права на достъп до своите автоматизирани файлове с ДНК анализи, автоматизирани системи за дактилоскопична идентификация и данни за регистрацията на превозните средства. Информацията, получена чрез сравняване на данните, действително ще предложи нови подходи за разследване и по този начин ще се превърне във важен фактор, подпомагащ дейността на правоприлагащите и съдебните органи на държавите членки. </w:t>
      </w:r>
    </w:p>
    <w:p>
      <w:pPr>
        <w:rPr>
          <w:noProof/>
        </w:rPr>
      </w:pPr>
      <w:r>
        <w:rPr>
          <w:noProof/>
        </w:rPr>
        <w:t>На 30 ноември 2009 г. Съветът прие Рамково решение 2009/905/ПВР на Съвета относно акредитацията на структури, предоставящи услуги във връзка с криминалистичните анализи и извършващи лабораторни дейности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(„Решението за криминалистични анализи“). С това рамково решение на Съвета се установяват изискванията за обмен на данни за ДНК и пръстови отпечатъци, за да се гарантира, че резултатите от лабораторните дейности, извършвани в дадена държава членка от акредитираните структури, предоставящи услуги във връзка с криминалистичните анализи, се признават от органите, отговорни за предотвратяването, разкриването и разследването на престъпления, за еднакво надеждни с резултатите от лабораторните дейности, извършвани от структури, предоставящи услуги във връзка с криминалистичните анализи, които са акредитирани по EN ISO/IEC 17025, в която и да било друга държава членка. </w:t>
      </w:r>
    </w:p>
    <w:p>
      <w:pPr>
        <w:rPr>
          <w:noProof/>
        </w:rPr>
      </w:pPr>
      <w:r>
        <w:rPr>
          <w:noProof/>
        </w:rPr>
        <w:t xml:space="preserve">През октомври 2015 г. Комисията представи на Съвета препоръката за Решение на Съвета за упълномощаването ѝ да започне преговорите за сключването на споразумения с Конфедерация Швейцария и Княжество Лихтенщайн за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на Решение 2008/616/ПВР на Съвета за изпълнение на </w:t>
      </w:r>
      <w:r>
        <w:rPr>
          <w:noProof/>
        </w:rPr>
        <w:lastRenderedPageBreak/>
        <w:t>Решение 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включително приложението (указания за водене на преговори).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10 юни 2016 г. Съветът упълномощи Комисията да започне преговори с Конфедерация Швейцария и Княжество Лихтенщайн относно прилагането на някои разпоредби на Решение 2008/615/ПВР на Съвета, на Решение 2008/616/ПВР на Съвета и приложението към него, както и на Рамково решение 2009/905/ПВР на Съвета относно акредитацията на структури, предоставящи услуги във връзка с криминалистичните анализи и извършващи лабораторни дейности. Преговорите и с двете държави бяха приключени успешно с парафиране на споразумението на 24 май 2018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Комисията счита, че целите, определени от Съвета в неговите указания за водене на преговорите, са постигнати и че проектът на споразумението е приемлив за Съюза. </w:t>
      </w:r>
    </w:p>
    <w:p>
      <w:pPr>
        <w:rPr>
          <w:noProof/>
        </w:rPr>
      </w:pPr>
      <w:r>
        <w:rPr>
          <w:noProof/>
        </w:rPr>
        <w:t>С това международно споразумение между ЕС и Конфедерация Швейцария се цели да се подобри и опрости автоматизираният обмен на информация и сведения между правоприлагащите органи на държавите членки и асоциираните държави, за да се стимулира международното полицейско сътрудничество. Възможността всички държави членки да имат достъп до националните бази данни на Конфедерация Швейцария, съдържащи ДНК данни, дактилоскопични данни и данни за регистрацията на превозните средства, както и обратната възможност, несъмнено са от изключително значение за насърчаването и засилването на трансграничното полицейско сътрудничество. Обменът на информация в областта на правоприлагането с оглед на опазването на сигурността в Европейския съюз не може да бъде подобрен в достатъчна степен само от държавите членки поради естеството на международната престъпност, която не се ограничава до границите на ЕС.</w:t>
      </w:r>
    </w:p>
    <w:p>
      <w:pPr>
        <w:ind w:left="851"/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  <w:color w:val="000000"/>
          <w:u w:color="000000"/>
          <w:bdr w:val="nil"/>
        </w:rPr>
        <w:tab/>
      </w:r>
      <w:r>
        <w:rPr>
          <w:noProof/>
        </w:rPr>
        <w:t>Съгласуваност със съществуващите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Рамковото решение 2006/960/ПВР на Съвета от 18 декември 2006 г. за опростяване обмена на информация и сведения между правоприлагащите органи на държавите членки на Европейския съюз</w:t>
      </w:r>
      <w:r>
        <w:rPr>
          <w:rStyle w:val="FootnoteReference"/>
          <w:noProof/>
        </w:rPr>
        <w:footnoteReference w:id="4"/>
      </w:r>
      <w:r>
        <w:rPr>
          <w:noProof/>
        </w:rPr>
        <w:t>, наричано „Шведската инициатива“, представлява развитие на разпоредбите на достиженията на правото от Шенген по смисъла на Споразумението между Европейския съюз, Европейската общност и Конфедерация Швейцария за асоцииране на Конфедерация Швейцария към въвеждането, прилагането и развитието на достиженията на правото от Шенген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Шведската инициатива е свързана до известна степен с Решението „Прюм“, тъй като с нея се определят правила, въз основа на които правоприлагащите органи на държавите членки и на асоциираните държави могат ефективно да обменят налична информация и сведения за целите на извършването на наказателни разследвания или на операции за събиране на сведения относно престъпността. Според член 5, параграф 1 от Шведската инициатива информация и сведения могат да бъдат искани с цел разкриване, предотвратяване или разследване на престъпление, когато има фактически основания да се счита, че съответната информация и сведения са на разположение в друга държава членка. Автоматизираният обмен на информация съгласно Решението „Прюм“ е подходящ за установяването на такива фактически основания. </w:t>
      </w:r>
    </w:p>
    <w:p>
      <w:pPr>
        <w:rPr>
          <w:noProof/>
        </w:rPr>
      </w:pPr>
      <w:r>
        <w:rPr>
          <w:noProof/>
        </w:rPr>
        <w:t>Освен това според член 20, параграф 1 от Регламент (ЕС) № 603/2013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преди да отправят към Евродак искане за достъп за целите на правоприлагането, държавите членки първо трябва да проверят наличните по националното право бази данни за пръстови отпечатъци и да сравнят набора от данни за пръстовите отпечатъци с автоматизираните бази данни за пръстови отпечатъци на други държави членки съгласно Решението „Прюм“. Държавите членки, които не изпълняват предварителното условие за извършване на проверка съгласно критериите от Прюм, която е задължителна предпоставка, няма да могат да отправят към Евродак искане за достъп за целите на правоприлагането. </w:t>
      </w:r>
    </w:p>
    <w:p>
      <w:pPr>
        <w:rPr>
          <w:noProof/>
        </w:rPr>
      </w:pPr>
      <w:r>
        <w:rPr>
          <w:noProof/>
        </w:rPr>
        <w:t xml:space="preserve">На 14 декември 2015 г. Съветът упълномощи Комисията да започне преговорите по споразуменията между Съюза, от една страна, и Дания, Исландия, Норвегия, Швейцария и Лихтенщайн, от друга страна, относно условията за участие на тези държави в процедурата за сравняване и предаване на данни за целите на правоприлагането, определена в глава VI от Регламент (ЕС) № 603/2013. </w:t>
      </w:r>
    </w:p>
    <w:p>
      <w:pPr>
        <w:rPr>
          <w:noProof/>
        </w:rPr>
      </w:pPr>
      <w:r>
        <w:rPr>
          <w:noProof/>
        </w:rPr>
        <w:t xml:space="preserve">На 26 юли 2010 г. беше сключено международното споразумение между Съюза и Исландия и Норвегия за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и на Решение 2008/616/ПВР на Съвета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престъпност. </w:t>
      </w:r>
    </w:p>
    <w:p>
      <w:pPr>
        <w:rPr>
          <w:noProof/>
        </w:rPr>
      </w:pPr>
      <w:r>
        <w:rPr>
          <w:noProof/>
        </w:rPr>
        <w:t>В съответствие с член 3 от Протокол № 21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следва да нотифицират желанието си да участват в приемането и прилагането на настоящото предложение за решение на Съвета в рамките на 3 месеца от приемането му от Комисията. </w:t>
      </w:r>
    </w:p>
    <w:p>
      <w:pPr>
        <w:rPr>
          <w:noProof/>
        </w:rPr>
      </w:pPr>
      <w:r>
        <w:rPr>
          <w:noProof/>
        </w:rPr>
        <w:t>В съответствие с членове 1 и 2 от Протокол № 22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Правното основание за настоящото предложение за решение на Съвета е член 82, параграф 1, буква г) и член 87, параграф 2, буква а), във връзка с член 218, параграф 6, буква а) от Договора за функционирането на Европейския съюз (ДФЕС).</w:t>
      </w:r>
    </w:p>
    <w:p>
      <w:pPr>
        <w:autoSpaceDE w:val="0"/>
        <w:autoSpaceDN w:val="0"/>
        <w:adjustRightInd w:val="0"/>
        <w:rPr>
          <w:rFonts w:eastAsia="Arial Unicode MS"/>
          <w:noProof/>
        </w:rPr>
      </w:pPr>
      <w:r>
        <w:rPr>
          <w:noProof/>
        </w:rPr>
        <w:t>Съгласно член 218, параграф 6, буква а), подточка v) от ДФЕС за сключването на настоящото споразумение се изисква одобрението на Европейския парламент.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В съответствие с принципа на субсидиарност, уреден в член 5 от Договора за Европейския съюз, целите на това споразумение могат да бъдат постигнати единствено на равнището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За да се стимулира международното сътрудничество в тази област, изключително важно е всички участници, които обменят данни съобразно рамката от Прюм, да използват едни и същи технически и процедурни стандарти и изисквания и стандарти и изисквания в областта на защитата на данните, за да се даде възможност за бърз, ефикасен и точен обмен на информация. Предложението съответства на принципа на пропорционалност, тъй като не надхвърля необходимото за постигането на целите, а именно ефективното участие на Конфедерация Швейцария в Решенията „Прюм“ и Решението за криминалистични анализи.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Настоящото предложение е в съответствие с член 218, параграф 6, буква а) от ДФЕС, който предвижда приемането от Съвета на решения относно международни споразумения след одобрение от Европейския парламент.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Съветът беше информиран и с него бяха проведени консултации в съответната работна група на Съвета (DAPIX). Европейският парламент (комисията LIBE) беше информиран.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Споразумението изцяло съответства на основните права и принципите за защита на данните, посочени в Решението „Прюм“ (глава 6).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съображение 8 от споразумението се посочва, че Конфедерация Швейцария следва да поеме разходите, направени от нейните органи във връзка с прилагането на споразумението. В член 1, параграф 1 от споразумението са изброени приложимите членове от Решението „Прюм“, включително член 34, според който всяка държава членка поема оперативните разходи, направени от нейните органи във връзка с прилагането на Решението „Прюм“. С член 1, параграф 4 на държавите членки се налага аналогично задължение във връзка с Решението за криминалистични анализи. Следователно няма отражение върху бюджета на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Изпълнението, включително предварителната оценка от Съвета и държавите членки, нотификациите и декларациите са описани в член 8 от споразумението.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Подробни разяснения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В споразумението са посочени разпоредбите на Решението „Прюм“, Решението за изпълнение на Решението „Прюм“ и Решението за криминалистични анализи, които ще са приложими за Конфедерация Швейцария след влизането в сила на споразумението.</w:t>
      </w:r>
    </w:p>
    <w:p>
      <w:pPr>
        <w:rPr>
          <w:noProof/>
        </w:rPr>
      </w:pPr>
      <w:r>
        <w:rPr>
          <w:noProof/>
        </w:rPr>
        <w:t>Споразумението установява също така разпоредби относно еднообразното прилагане (член 3), разрешаването на спорове (член 4), измененията (член 5), уведомленията и декларациите (член 8). Договарящите страни се съгласяват да извършат съвместно преразглеждане на споразумението не по-късно от пет години от влизането му в сила (член 6). Споразумението се сключва за неопределен срок, като всяка от договарящите страни може да го прекрати по всяко време (член 10).</w:t>
      </w:r>
    </w:p>
    <w:p>
      <w:pPr>
        <w:rPr>
          <w:noProof/>
        </w:rPr>
      </w:pPr>
    </w:p>
    <w:p>
      <w:pPr>
        <w:rPr>
          <w:noProof/>
        </w:rPr>
      </w:pPr>
    </w:p>
    <w:p>
      <w:p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2019/0013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сключването на Споразумение между Европейския съюз и Конфедерация Швейцария за прилагането на някои разпоредби на Решение 2008/615/ПВР на Съвета за засилване на трансграничното сътрудничество, по-специално в борбата срещу тероризма и трансграничната престъпност, на Решение 2008/616/ПВР на Съвета за изпълнение на Решение 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 2009/905/ПВР на Съвета относно акредитацията на структури, предоставящи услуги във връзка с криминалистичните анализи и извършващи лабораторни дейности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82, параграф 1, буква г) и член 87, параграф 2, буква а), във връзка с член 218, параграф 6, буква а)</w:t>
      </w:r>
      <w:r>
        <w:t xml:space="preserve"> </w:t>
      </w:r>
      <w:r>
        <w:rPr>
          <w:noProof/>
        </w:rPr>
        <w:t>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В съответствие с Решение </w:t>
      </w:r>
      <w:r>
        <w:t xml:space="preserve"> </w:t>
      </w:r>
      <w:r>
        <w:rPr>
          <w:highlight w:val="yellow"/>
        </w:rPr>
        <w:t>[XXX]</w:t>
      </w:r>
      <w:r>
        <w:t xml:space="preserve"> </w:t>
      </w:r>
      <w:r>
        <w:rPr>
          <w:noProof/>
        </w:rPr>
        <w:t xml:space="preserve">на Съвета от </w:t>
      </w:r>
      <w:r>
        <w:rPr>
          <w:highlight w:val="yellow"/>
        </w:rPr>
        <w:t>[XXX] г.</w:t>
      </w:r>
      <w:r>
        <w:rPr>
          <w:rStyle w:val="FootnoteReference"/>
          <w:highlight w:val="yellow"/>
        </w:rPr>
        <w:footnoteReference w:id="9"/>
      </w:r>
      <w:r>
        <w:rPr>
          <w:noProof/>
        </w:rPr>
        <w:t xml:space="preserve"> на</w:t>
      </w:r>
      <w:r>
        <w:t xml:space="preserve"> </w:t>
      </w:r>
      <w:r>
        <w:rPr>
          <w:highlight w:val="yellow"/>
        </w:rPr>
        <w:t>[XXX] г.</w:t>
      </w:r>
      <w:r>
        <w:t xml:space="preserve"> </w:t>
      </w:r>
      <w:r>
        <w:rPr>
          <w:noProof/>
        </w:rPr>
        <w:t xml:space="preserve"> бе подписано Споразумението между Европейския съюз и Конфедерация Швейцария относно прилагането на някои разпоредби на Решение 2008/615/ПВР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за засилване на трансграничното сътрудничество, по-специално в борбата срещу тероризма и трансграничната престъпност, на Решение 2008/616/ПВР на Съвета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за изпълнение на Решение 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 2009/905/ПВР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относно акредитацията на структури, предоставящи услуги във връзка с криминалистичните анализи и извършващи лабораторни дейности („Споразумението“), при условие за сключването му на по-късна дата.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Обменът на информация в областта на правоприлагането с оглед на опазването на сигурността в Съюза не може да бъде подобрен в достатъчна степен само от държавите членки поради естеството на международната престъпност, която не се ограничава до границите на Съюза.</w:t>
      </w:r>
      <w:r>
        <w:rPr>
          <w:i/>
          <w:noProof/>
        </w:rPr>
        <w:t xml:space="preserve"> </w:t>
      </w:r>
      <w:r>
        <w:rPr>
          <w:noProof/>
        </w:rPr>
        <w:t>Възможността всички държави членки и Конфедерация Швейцария да имат реципрочен достъп до националните бази данни, съдържащи файлове с ДНК анализи, системи за дактилоскопична идентификация и данни за регистрацията на превозните средства, е от огромно значение за стимулирането на трансграничното сътрудничество в областта на правоприлагането.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 8 от Споразумението някои от неговите разпоредби се прилагат временно от датата на подписването му.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бъде одобрено от името на Европейския съюз.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[В съответствие с член 3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са нотифицирали желанието си да участват в приемането и прилагането на настоящото решение.]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прилагане,</w:t>
      </w:r>
    </w:p>
    <w:p>
      <w:pPr>
        <w:rPr>
          <w:noProof/>
        </w:rPr>
      </w:pPr>
    </w:p>
    <w:p>
      <w:pPr>
        <w:pStyle w:val="Formuledadoption"/>
        <w:spacing w:after="240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48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между Европейския съюз и Конфедерация Швейцария относно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на Решение 2008/616/ПВР на Съвета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 2009/905/ПВР на Съвета относно акредитацията на структури, предоставящи услуги във връзка с криминалистичните анализи и извършващи лабораторни дейности („Споразумението“) се одобрява от името на Съюза.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предвиденото в член 8, параграф 1 от Споразумението уведомяване, за да се изрази съгласието на Европейския съюз да бъде обвързан от Споразумението</w:t>
      </w:r>
      <w:r>
        <w:rPr>
          <w:rStyle w:val="FootnoteReference"/>
          <w:noProof/>
        </w:rPr>
        <w:footnoteReference w:id="13"/>
      </w:r>
      <w:r>
        <w:rPr>
          <w:noProof/>
        </w:rPr>
        <w:t>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след деня на публикуването му в Официален вестник на Европейския съюз.</w:t>
      </w: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jc w:val="both"/>
        <w:rPr>
          <w:noProof/>
        </w:rPr>
      </w:pPr>
      <w:r>
        <w:rPr>
          <w:noProof/>
        </w:rPr>
        <w:tab/>
        <w:t>Председател</w:t>
      </w:r>
    </w:p>
    <w:sectPr>
      <w:headerReference w:type="default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39"/>
      <w:pgMar w:top="1134" w:right="850" w:bottom="1134" w:left="993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210, 6.8.2008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210, 6.8.2008 г., стр. 12.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322, 9.12.2009 г., стр. 14.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 386, 29.12.2006 г., стр. 89.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 53, 27.2.2008 г., стр. 52.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 (ЕС) № 603/2013 на Европейския парламент и на Съвета от 26 юни 2013 г. за създаване на система Евродак за сравняване на дактилоскопични отпечатъци с оглед ефективното прилагане на Регламент (ЕС) № 604/2013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 (ЕС) № 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 </w:t>
      </w:r>
      <w:r>
        <w:rPr>
          <w:color w:val="000000"/>
        </w:rPr>
        <w:t>(преработен текст) (</w:t>
      </w:r>
      <w:r>
        <w:rPr>
          <w:rStyle w:val="Emphasis"/>
          <w:i w:val="0"/>
        </w:rPr>
        <w:t>ОВ L 180, 29.6.2013 г., стр. 1)</w:t>
      </w:r>
      <w:r>
        <w:rPr>
          <w:color w:val="000000"/>
        </w:rPr>
        <w:t>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C 202, 7.6.2016 г., стр. 295.</w:t>
      </w:r>
    </w:p>
  </w:footnote>
  <w:footnote w:id="8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C 326, 26.10.2012 г., стр. 299.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Решение [</w:t>
      </w:r>
      <w:r>
        <w:rPr>
          <w:highlight w:val="yellow"/>
        </w:rPr>
        <w:t>XXX</w:t>
      </w:r>
      <w:r>
        <w:t>] на Съвета от [</w:t>
      </w:r>
      <w:r>
        <w:rPr>
          <w:highlight w:val="yellow"/>
        </w:rPr>
        <w:t>XXX г.</w:t>
      </w:r>
      <w:r>
        <w:t xml:space="preserve">] за подписването от името на Европейския съюз и за временното прилагане на някои разпоредби на Споразумението между Европейския съюз и Конфедерация Швейцария за прилагането на някои разпоредби на Решение 2008/615/ПВР на Съвета за засилване на трансграничното сътрудничество, по-специално в борбата срещу тероризма и трансграничната престъпност, на Решение 2008/616/ПВР на Съвета за изпълнение на Решение 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 2009/905/ПВР на Съвета относно акредитацията на структури, предоставящи услуги във връзка с криминалистичните анализи и извършващи лабораторни дейности (ОВ L </w:t>
      </w:r>
      <w:r>
        <w:rPr>
          <w:highlight w:val="yellow"/>
        </w:rPr>
        <w:t>[…</w:t>
      </w:r>
      <w:r>
        <w:t>], [</w:t>
      </w:r>
      <w:r>
        <w:rPr>
          <w:highlight w:val="yellow"/>
        </w:rPr>
        <w:t>…</w:t>
      </w:r>
      <w:r>
        <w:t>] г., стр. [</w:t>
      </w:r>
      <w:r>
        <w:rPr>
          <w:highlight w:val="yellow"/>
        </w:rPr>
        <w:t>…</w:t>
      </w:r>
      <w:r>
        <w:t>]).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Решение 2008/615/ПВР на Съвета от 23 юни 2008 г. за засилване на трансграничното сътрудничество, по-специално в борбата срещу тероризма и трансграничната престъпност (</w:t>
      </w:r>
      <w:r>
        <w:rPr>
          <w:rStyle w:val="Emphasis"/>
          <w:i w:val="0"/>
        </w:rPr>
        <w:t>ОВ L 210, 6.8.2008 г., стр. 1).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 2008/616/ПВР на Съвета от 23 юни 2008 г.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 (</w:t>
      </w:r>
      <w:r>
        <w:rPr>
          <w:rStyle w:val="Emphasis"/>
          <w:i w:val="0"/>
        </w:rPr>
        <w:t>ОВ L 210, 6.8.2008 г., стр. 12).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Рамково решение 2009/905/ПВР на Съвета от 30 ноември 2009 г. относно акредитацията на структури, предоставящи услуги във връзка с криминалистичните анализи и извършващи лабораторни дейности (</w:t>
      </w:r>
      <w:r>
        <w:rPr>
          <w:rStyle w:val="Emphasis"/>
          <w:i w:val="0"/>
        </w:rPr>
        <w:t>ОВ L 322, 9.12.2009 г., стр. 14</w:t>
      </w:r>
      <w:r>
        <w:t>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Датата на влизане в сила на Споразумението ще бъде публикувана в </w:t>
      </w:r>
      <w:r>
        <w:rPr>
          <w:i/>
        </w:rPr>
        <w:t>Официален вестник на Европейския съюз</w:t>
      </w:r>
      <w:r>
        <w:t xml:space="preserve"> от Генералния секретариат на Съвета.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C4BF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E1094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02600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3FA8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7C93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82A6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12C3D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DF240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4 16:24:3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EE360A51-F0D1-42D6-8488-695A4FA5256F"/>
    <w:docVar w:name="LW_COVERPAGE_TYPE" w:val="1"/>
    <w:docVar w:name="LW_CROSSREFERENCE" w:val="&lt;UNUSED&gt;"/>
    <w:docVar w:name="LW_DocType" w:val="COM"/>
    <w:docVar w:name="LW_EMISSION" w:val="31.1.2019"/>
    <w:docVar w:name="LW_EMISSION_ISODATE" w:val="2019-01-31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13"/>
    <w:docVar w:name="LW_REF.II.NEW.CP_YEAR" w:val="2019"/>
    <w:docVar w:name="LW_REF.INST.NEW" w:val="COM"/>
    <w:docVar w:name="LW_REF.INST.NEW_ADOPTED" w:val="final"/>
    <w:docVar w:name="LW_REF.INST.NEW_TEXT" w:val="(2019) 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\u1090?\u1086? \u1085?\u1072? \u1057?\u1087?\u1086?\u1088?\u1072?\u1079?\u1091?\u1084?\u1077?\u1085?\u1080?\u1077? \u1084?\u1077?\u1078?\u1076?\u1091? \u1045?\u1074?\u1088?\u1086?\u1087?\u1077?\u1081?\u1089?\u1082?\u1080?\u1103? \u1089?\u1098?\u1102?\u1079? \u1080? \u1050?\u1086?\u1085?\u1092?\u1077?\u1076?\u1077?\u1088?\u1072?\u1094?\u1080?\u1103? \u1064?\u1074?\u1077?\u1081?\u1094?\u1072?\u1088?\u1080?\u1103? \u1079?\u1072? \u1087?\u1088?\u1080?\u1083?\u1072?\u1075?\u1072?\u1085?\u1077?\u1090?\u1086? \u1085?\u1072? \u1085?\u1103?\u1082?\u1086?\u1080? \u1088?\u1072?\u1079?\u1087?\u1086?\u1088?\u1077?\u1076?\u1073?\u1080? \u1085?\u1072? \u1056?\u1077?\u1096?\u1077?\u1085?\u1080?\u1077? 2008/615/\u1055?\u1042?\u1056? \u1085?\u1072? \u1057?\u1098?\u1074?\u1077?\u1090?\u1072? \u1079?\u1072? \u1079?\u1072?\u1089?\u1080?\u1083?\u1074?\u1072?\u1085?\u1077? \u1085?\u1072? \u1090?\u1088?\u1072?\u1085?\u1089?\u1075?\u1088?\u1072?\u1085?\u1080?\u1095?\u1085?\u1086?\u1090?\u1086? \u1089?\u1098?\u1090?\u1088?\u1091?\u1076?\u1085?\u1080?\u1095?\u1077?\u1089?\u1090?\u1074?\u1086?, \u1087?\u1086?-\u1089?\u1087?\u1077?\u1094?\u1080?\u1072?\u1083?\u1085?\u1086? \u1074? \u1073?\u1086?\u1088?\u1073?\u1072?\u1090?\u1072? \u1089?\u1088?\u1077?\u1097?\u1091? \u1090?\u1077?\u1088?\u1086?\u1088?\u1080?\u1079?\u1084?\u1072? \u1080? \u1090?\u1088?\u1072?\u1085?\u1089?\u1075?\u1088?\u1072?\u1085?\u1080?\u1095?\u1085?\u1072?\u1090?\u1072? \u1087?\u1088?\u1077?\u1089?\u1090?\u1098?\u1087?\u1085?\u1086?\u1089?\u1090?, \u1085?\u1072? \u1056?\u1077?\u1096?\u1077?\u1085?\u1080?\u1077? 2008/616/\u1055?\u1042?\u1056? \u1085?\u1072? \u1057?\u1098?\u1074?\u1077?\u1090?\u1072? \u1079?\u1072? \u1080?\u1079?\u1087?\u1098?\u1083?\u1085?\u1077?\u1085?\u1080?\u1077? \u1085?\u1072? \u1056?\u1077?\u1096?\u1077?\u1085?\u1080?\u1077? 2008/615/\u1055?\u1042?\u1056? \u1086?\u1090?\u1085?\u1086?\u1089?\u1085?\u1086? \u1079?\u1072?\u1089?\u1080?\u1083?\u1074?\u1072?\u1085?\u1077?\u1090?\u1086? \u1085?\u1072? \u1090?\u1088?\u1072?\u1085?\u1089?\u1075?\u1088?\u1072?\u1085?\u1080?\u1095?\u1085?\u1086?\u1090?\u1086? \u1089?\u1098?\u1090?\u1088?\u1091?\u1076?\u1085?\u1080?\u1095?\u1077?\u1089?\u1090?\u1074?\u1086?, \u1087?\u1086?-\u1089?\u1087?\u1077?\u1094?\u1080?\u1072?\u1083?\u1085?\u1086? \u1074? \u1073?\u1086?\u1088?\u1073?\u1072?\u1090?\u1072? \u1089?\u1088?\u1077?\u1097?\u1091? \u1090?\u1077?\u1088?\u1086?\u1088?\u1080?\u1079?\u1084?\u1072? \u1080? \u1090?\u1088?\u1072?\u1085?\u1089?\u1075?\u1088?\u1072?\u1085?\u1080?\u1095?\u1085?\u1072?\u1090?\u1072? \u1087?\u1088?\u1077?\u1089?\u1090?\u1098?\u1087?\u1085?\u1086?\u1089?\u1090?, \u1080? \u1085?\u1072? \u1087?\u1088?\u1080?\u1083?\u1086?\u1078?\u1077?\u1085?\u1080?\u1077?\u1090?\u1086? \u1082?\u1098?\u1084? \u1085?\u1077?\u1075?\u1086?, \u1082?\u1072?\u1082?\u1090?\u1086? \u1080? \u1085?\u1072? \u1056?\u1072?\u1084?\u1082?\u1086?\u1074?\u1086? \u1088?\u1077?\u1096?\u1077?\u1085?\u1080?\u1077? 2009/905/\u1055?\u1042?\u1056? \u1085?\u1072? \u1057?\u1098?\u1074?\u1077?\u1090?\u1072? \u1086?\u1090?\u1085?\u1086?\u1089?\u1085?\u1086? \u1072?\u1082?\u1088?\u1077?\u1076?\u1080?\u1090?\u1072?\u1094?\u1080?\u1103?\u1090?\u1072? \u1085?\u1072? \u1089?\u1090?\u1088?\u1091?\u1082?\u1090?\u1091?\u1088?\u1080?, \u1087?\u1088?\u1077?\u1076?\u1086?\u1089?\u1090?\u1072?\u1074?\u1103?\u1097?\u1080? \u1091?\u1089?\u1083?\u1091?\u1075?\u1080? \u1074?\u1098?\u1074? \u1074?\u1088?\u1098?\u1079?\u1082?\u1072? \u1089? \u1082?\u1088?\u1080?\u1084?\u1080?\u1085?\u1072?\u1083?\u1080?\u1089?\u1090?\u1080?\u1095?\u1085?\u1080?\u1090?\u1077? \u1072?\u1085?\u1072?\u1083?\u1080?\u1079?\u1080? \u1080? \u1080?\u1079?\u1074?\u1098?\u1088?\u1096?\u1074?\u1072?\u1097?\u1080? \u1083?\u1072?\u1073?\u1086?\u1088?\u1072?\u1090?\u1086?\u1088?\u1085?\u1080? \u1076?\u1077?\u1081?\u1085?\u1086?\u1089?\u109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italic">
    <w:name w:val="italic"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Headerorfooter">
    <w:name w:val="Header or footer_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en-US" w:bidi="en-US"/>
    </w:rPr>
  </w:style>
  <w:style w:type="character" w:customStyle="1" w:styleId="Headerorfooter85pt">
    <w:name w:val="Header or footer + 8.5 pt"/>
    <w:aliases w:val="Scaling 75%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bg-BG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EndnoteText">
    <w:name w:val="endnote text"/>
    <w:basedOn w:val="Normal"/>
    <w:link w:val="EndnoteTextChar"/>
    <w:uiPriority w:val="99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italic">
    <w:name w:val="italic"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Headerorfooter">
    <w:name w:val="Header or footer_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en-US" w:bidi="en-US"/>
    </w:rPr>
  </w:style>
  <w:style w:type="character" w:customStyle="1" w:styleId="Headerorfooter85pt">
    <w:name w:val="Header or footer + 8.5 pt"/>
    <w:aliases w:val="Scaling 75%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bg-BG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EndnoteText">
    <w:name w:val="endnote text"/>
    <w:basedOn w:val="Normal"/>
    <w:link w:val="EndnoteTextChar"/>
    <w:uiPriority w:val="99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0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7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32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10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9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8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84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0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205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2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7372BF-31E2-4ACD-97BA-3D341E27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7</TotalTime>
  <Pages>9</Pages>
  <Words>2345</Words>
  <Characters>14425</Characters>
  <Application>Microsoft Office Word</Application>
  <DocSecurity>0</DocSecurity>
  <Lines>262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2018-08-29T08:19:00Z</cp:lastPrinted>
  <dcterms:created xsi:type="dcterms:W3CDTF">2019-01-11T13:45:00Z</dcterms:created>
  <dcterms:modified xsi:type="dcterms:W3CDTF">2019-01-24T15:24:00Z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