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5B20411-A7D4-4986-94E7-279B07649F46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</w:rPr>
        <w:t xml:space="preserve">№ 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</w:rPr>
        <w:t xml:space="preserve">от 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</w:rPr>
        <w:t>за изменение на приложение II (Технически правила, стандарти, изпитвания и сертифициране) и приложение XI (Електронни комуникации, аудио-визуални услуги и информационно общество) към Споразумението за ЕИП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като взе предвид Споразумението за Европейското икономическо пространство (наричано по-нататък „Споразумението за ЕИП“), и по-специално член 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Директива (ЕС) 2015/1535 на Европейския парламент и на Съвета от 9 септември 2015 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</w:r>
      <w:r>
        <w:rPr>
          <w:rStyle w:val="FootnoteReference"/>
          <w:noProof/>
        </w:rPr>
        <w:footnoteReference w:id="1"/>
      </w:r>
      <w:r>
        <w:rPr>
          <w:noProof/>
        </w:rPr>
        <w:t>, следва да бъде включена в Споразумението за ЕИП.</w:t>
      </w:r>
    </w:p>
    <w:p>
      <w:pPr>
        <w:pStyle w:val="Considrant"/>
        <w:rPr>
          <w:noProof/>
          <w:szCs w:val="24"/>
        </w:rPr>
      </w:pPr>
      <w:r>
        <w:rPr>
          <w:noProof/>
        </w:rPr>
        <w:t>Директива (ЕС) 2015/1535 отменя Директива 98/34/ЕО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изменена с Директива 98/48/ЕО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която е включена в Споразумението за ЕИП, и следователно следва да отпадне от Споразумението за ЕИП.</w:t>
      </w:r>
    </w:p>
    <w:p>
      <w:pPr>
        <w:pStyle w:val="Considrant"/>
        <w:rPr>
          <w:noProof/>
          <w:szCs w:val="24"/>
        </w:rPr>
      </w:pPr>
      <w:r>
        <w:rPr>
          <w:noProof/>
        </w:rPr>
        <w:t>Въпреки че държавите от ЕАСТ могат да издават коментари и подробни становища по отношение на проект на технически регламент, нотифициран от други държави от ЕАСТ, те могат да представят само коментари във връзка с проект на технически регламент, нотифициран от държавите — членки на Съюза, и обратно.</w:t>
      </w:r>
    </w:p>
    <w:p>
      <w:pPr>
        <w:pStyle w:val="Considrant"/>
        <w:rPr>
          <w:noProof/>
          <w:color w:val="000000" w:themeColor="text1"/>
          <w:szCs w:val="24"/>
        </w:rPr>
      </w:pPr>
      <w:r>
        <w:rPr>
          <w:noProof/>
        </w:rPr>
        <w:t>Поради това приложения II и XI към Споразумението за ЕИП следва да бъдат съответно изменени,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ПРИЕ НАСТОЯЩОТО РЕШЕНИЕ:</w:t>
      </w:r>
    </w:p>
    <w:p>
      <w:pPr>
        <w:pStyle w:val="Articleheading"/>
        <w:rPr>
          <w:noProof/>
          <w:lang w:val="bg-BG"/>
        </w:rPr>
      </w:pPr>
      <w:r>
        <w:rPr>
          <w:noProof/>
          <w:lang w:val="bg-BG"/>
        </w:rPr>
        <w:t>Член 1</w:t>
      </w:r>
    </w:p>
    <w:p>
      <w:pPr>
        <w:rPr>
          <w:noProof/>
        </w:rPr>
      </w:pPr>
      <w:r>
        <w:rPr>
          <w:noProof/>
        </w:rPr>
        <w:t>Текстът в точка 1 (Директива 98/34/ЕО на Европейския парламент и на Съвета) от глава XIX от приложение II към Споразумението за ЕИП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32015 L 1535</w:t>
      </w:r>
      <w:r>
        <w:rPr>
          <w:noProof/>
        </w:rPr>
        <w:t>: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г., стр. 1).</w:t>
      </w:r>
    </w:p>
    <w:p>
      <w:pPr>
        <w:rPr>
          <w:noProof/>
        </w:rPr>
      </w:pPr>
      <w:r>
        <w:rPr>
          <w:noProof/>
        </w:rPr>
        <w:t xml:space="preserve">За целите на настоящото споразумение разпоредбите на посочената директива се четат със следните адаптации: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Член 1, параграф 1, буква в), втора алинея се заменя със следното: </w:t>
      </w:r>
    </w:p>
    <w:p>
      <w:pPr>
        <w:pStyle w:val="Text1"/>
        <w:rPr>
          <w:noProof/>
        </w:rPr>
      </w:pPr>
      <w:r>
        <w:rPr>
          <w:noProof/>
        </w:rPr>
        <w:t>„Понятието „техническа спецификация“ включва също така производствени методи и процеси, използвани при продукти, предназначени за консумация от хората и животните, и при медицинските продукти, определени в член 1 от Директива 2001/83/ЕО (включена в точка 15р от глава XIII от приложение II към Споразумението с Решение на Съвместния комитет на ЕИП № 82/2002 от 25 юни 2002 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), както и производствени методи и процеси, свързани с други продукти, когато те имат влияние върху техните характеристики.“;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член 5, параграф 1, първа алинея се добавя следното: </w:t>
      </w:r>
    </w:p>
    <w:p>
      <w:pPr>
        <w:pStyle w:val="Text1"/>
        <w:rPr>
          <w:noProof/>
        </w:rPr>
      </w:pPr>
      <w:r>
        <w:rPr>
          <w:noProof/>
        </w:rPr>
        <w:t xml:space="preserve">„Пълният текст на оповестения проект на технически регламент се предоставя на оригиналния език, както и в пълен превод на един от официалните езици на Съюза.“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член 5, параграф 1 се добавя следната алинея: </w:t>
      </w:r>
    </w:p>
    <w:p>
      <w:pPr>
        <w:pStyle w:val="Text1"/>
        <w:rPr>
          <w:noProof/>
        </w:rPr>
      </w:pPr>
      <w:r>
        <w:rPr>
          <w:noProof/>
        </w:rPr>
        <w:t xml:space="preserve">„Комисията от името на Съюза, от една страна, и Надзорният орган на ЕАСТ или държавите от ЕАСТ чрез Надзорния орган на ЕАСТ, от друга страна, може да изискат допълнителна информация за оповестения проект на технически регламент.“;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В член 5, параграф 2 се добавя следната алинея: </w:t>
      </w:r>
    </w:p>
    <w:p>
      <w:pPr>
        <w:pStyle w:val="Text1"/>
        <w:rPr>
          <w:noProof/>
        </w:rPr>
      </w:pPr>
      <w:r>
        <w:rPr>
          <w:noProof/>
        </w:rPr>
        <w:t>„Коментарите на държавите от ЕАСТ се препращат от Надзорния орган на ЕАСТ на Комисията под формата на едно-единствено координирано съобщение, а коментарите на Съюза се препращат от Комисията на Надзорния орган на ЕАСТ.“;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Термините „държава членка“ и „Комисията“ в член 6, параграфи 1, 2 и 7 се заменят съответно с термините „държава от ЕАСТ“ и „Надзорният орган на ЕАСТ“. 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Разпоредбите на член 6, параграфи 3, 4, 5 и 6 не се прилагат.“ </w:t>
      </w:r>
    </w:p>
    <w:p>
      <w:pPr>
        <w:pStyle w:val="Articleheading"/>
        <w:rPr>
          <w:noProof/>
          <w:lang w:val="bg-BG"/>
        </w:rPr>
      </w:pPr>
      <w:r>
        <w:rPr>
          <w:noProof/>
          <w:lang w:val="bg-BG"/>
        </w:rPr>
        <w:t>Член 2</w:t>
      </w:r>
    </w:p>
    <w:p>
      <w:pPr>
        <w:rPr>
          <w:noProof/>
        </w:rPr>
      </w:pPr>
      <w:r>
        <w:rPr>
          <w:noProof/>
        </w:rPr>
        <w:t>Текстът в точка 5и (Директива 98/34/ЕО на Европейския парламент и на Съвета) от приложение XI към Споразумението за ЕИП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32015 L 1535</w:t>
      </w:r>
      <w:r>
        <w:rPr>
          <w:noProof/>
        </w:rPr>
        <w:t>: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г., стр. 1).</w:t>
      </w:r>
    </w:p>
    <w:p>
      <w:pPr>
        <w:rPr>
          <w:noProof/>
        </w:rPr>
      </w:pPr>
      <w:r>
        <w:rPr>
          <w:noProof/>
        </w:rPr>
        <w:t xml:space="preserve">За целите на настоящото споразумение разпоредбите на посочената директива се четат със следните адаптации: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Член 1, параграф 1, буква в), втора алинея се заменя със следното: </w:t>
      </w:r>
    </w:p>
    <w:p>
      <w:pPr>
        <w:pStyle w:val="Point0"/>
        <w:ind w:firstLine="0"/>
        <w:rPr>
          <w:noProof/>
        </w:rPr>
      </w:pPr>
      <w:r>
        <w:rPr>
          <w:noProof/>
        </w:rPr>
        <w:t>„Понятието „техническа спецификация“ включва също така производствени методи и процеси, използвани при продукти, предназначени за консумация от хората и животните, и при медицинските продукти, определени в член 1 от Директива 2001/83/ЕО (включена в точка 15р от глава XIII от приложение II към Споразумението с Решение на Съвместния комитет на ЕИП № 82/2002 от 25 юни 2002 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), както и производствени методи и процеси, свързани с други продукти, когато те имат влияние върху техните характеристики.“;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член 5, параграф 1, първа алинея се добавя следното: </w:t>
      </w:r>
    </w:p>
    <w:p>
      <w:pPr>
        <w:pStyle w:val="Point0"/>
        <w:rPr>
          <w:noProof/>
        </w:rPr>
      </w:pPr>
      <w:r>
        <w:rPr>
          <w:noProof/>
        </w:rPr>
        <w:tab/>
        <w:t xml:space="preserve">„Пълният текст на оповестения проект на технически регламент се предоставя на оригиналния език, както и в пълен превод на един от официалните езици на Съюза.“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член 5, параграф 1 се добавя следната алинея: </w:t>
      </w:r>
    </w:p>
    <w:p>
      <w:pPr>
        <w:pStyle w:val="Point0"/>
        <w:rPr>
          <w:noProof/>
        </w:rPr>
      </w:pPr>
      <w:r>
        <w:rPr>
          <w:noProof/>
        </w:rPr>
        <w:tab/>
        <w:t xml:space="preserve">„Комисията от името на Съюза, от една страна, и Надзорният орган на ЕАСТ или държавите от ЕАСТ чрез Надзорния орган на ЕАСТ, от друга страна, може да изискат допълнителна информация за оповестения проект на технически регламент.“;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В член 5, параграф 2 се добавя следната алинея: </w:t>
      </w:r>
    </w:p>
    <w:p>
      <w:pPr>
        <w:pStyle w:val="Point0"/>
        <w:ind w:firstLine="0"/>
        <w:rPr>
          <w:noProof/>
        </w:rPr>
      </w:pPr>
      <w:r>
        <w:rPr>
          <w:noProof/>
        </w:rPr>
        <w:t>„Коментарите на държавите от ЕАСТ се препращат от Надзорния орган на ЕАСТ на Комисията под формата на едно-единствено координирано съобщение, а коментарите на Съюза се препращат от Комисията на Надзорния орган на ЕАСТ.“;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Термините „държава членка“ и „Комисията“ в член 6, параграфи 1, 2 и 7 се заменят съответно с термините „държава от ЕАСТ“ и „Надзорният орган на ЕАСТ“. 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Разпоредбите на член 6, параграфи 3, 4, 5 и 6 не се прилагат.“ </w:t>
      </w:r>
    </w:p>
    <w:p>
      <w:pPr>
        <w:pStyle w:val="Articleheading"/>
        <w:rPr>
          <w:noProof/>
          <w:lang w:val="bg-BG"/>
        </w:rPr>
      </w:pPr>
      <w:r>
        <w:rPr>
          <w:noProof/>
          <w:lang w:val="bg-BG"/>
        </w:rPr>
        <w:t>Член 3</w:t>
      </w:r>
    </w:p>
    <w:p>
      <w:pPr>
        <w:rPr>
          <w:noProof/>
        </w:rPr>
      </w:pPr>
      <w:r>
        <w:rPr>
          <w:noProof/>
        </w:rPr>
        <w:t xml:space="preserve">Текстовете на Директива (ЕС) 2015/1535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Articleheading"/>
        <w:rPr>
          <w:noProof/>
          <w:lang w:val="bg-BG"/>
        </w:rPr>
      </w:pPr>
      <w:r>
        <w:rPr>
          <w:noProof/>
          <w:lang w:val="bg-BG"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</w:t>
      </w:r>
      <w:r>
        <w:rPr>
          <w:rStyle w:val="Marker"/>
          <w:noProof/>
        </w:rPr>
        <w:t>[…]</w:t>
      </w:r>
      <w:r>
        <w:rPr>
          <w:noProof/>
        </w:rPr>
        <w:t> 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footnoteReference w:customMarkFollows="1" w:id="6"/>
        <w:sym w:font="Symbol" w:char="F02A"/>
      </w:r>
      <w:r>
        <w:rPr>
          <w:noProof/>
        </w:rPr>
        <w:t>.</w:t>
      </w:r>
    </w:p>
    <w:p>
      <w:pPr>
        <w:pStyle w:val="Articleheading"/>
        <w:rPr>
          <w:noProof/>
          <w:lang w:val="bg-BG"/>
        </w:rPr>
      </w:pPr>
      <w:r>
        <w:rPr>
          <w:noProof/>
          <w:lang w:val="bg-BG"/>
        </w:rPr>
        <w:t>Член 5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Съставено в Брюксел на </w:t>
      </w:r>
      <w:r>
        <w:rPr>
          <w:rStyle w:val="Marker"/>
          <w:noProof/>
        </w:rPr>
        <w:t>[…]</w:t>
      </w:r>
      <w:r>
        <w:rPr>
          <w:noProof/>
        </w:rPr>
        <w:t xml:space="preserve">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rStyle w:val="Marker"/>
          <w:i/>
          <w:noProof/>
        </w:rPr>
        <w:t>[…]</w:t>
      </w:r>
    </w:p>
    <w:p>
      <w:pPr>
        <w:pStyle w:val="ListParagraph"/>
        <w:ind w:left="0"/>
        <w:rPr>
          <w:rStyle w:val="Marker"/>
          <w:noProof/>
          <w:lang w:val="bg-BG"/>
        </w:rPr>
      </w:pPr>
    </w:p>
    <w:p>
      <w:pPr>
        <w:pStyle w:val="ListParagraph"/>
        <w:ind w:left="0"/>
        <w:rPr>
          <w:rStyle w:val="Marker"/>
          <w:noProof/>
          <w:lang w:val="bg-BG"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  <w:lang w:val="bg-BG"/>
        </w:rPr>
      </w:pPr>
      <w:r>
        <w:rPr>
          <w:noProof/>
          <w:lang w:val="bg-BG"/>
        </w:rPr>
        <w:tab/>
      </w:r>
      <w:r>
        <w:rPr>
          <w:i/>
          <w:noProof/>
          <w:sz w:val="24"/>
          <w:lang w:val="bg-BG"/>
        </w:rPr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  <w:lang w:val="bg-BG"/>
        </w:rPr>
      </w:pPr>
      <w:r>
        <w:rPr>
          <w:noProof/>
          <w:lang w:val="bg-BG"/>
        </w:rPr>
        <w:tab/>
      </w:r>
      <w:r>
        <w:rPr>
          <w:i/>
          <w:noProof/>
          <w:sz w:val="24"/>
          <w:lang w:val="bg-BG"/>
        </w:rPr>
        <w:t>на Съвместния комитет на ЕИП</w:t>
      </w:r>
    </w:p>
    <w:p>
      <w:pPr>
        <w:pStyle w:val="ListParagraph"/>
        <w:tabs>
          <w:tab w:val="left" w:pos="4253"/>
        </w:tabs>
        <w:ind w:left="0"/>
        <w:rPr>
          <w:rStyle w:val="Marker"/>
          <w:rFonts w:cs="Times New Roman"/>
          <w:i/>
          <w:noProof/>
          <w:sz w:val="24"/>
          <w:szCs w:val="24"/>
          <w:lang w:val="bg-BG"/>
        </w:rPr>
      </w:pPr>
      <w:r>
        <w:rPr>
          <w:noProof/>
          <w:lang w:val="bg-BG"/>
        </w:rPr>
        <w:tab/>
      </w:r>
      <w:r>
        <w:rPr>
          <w:rStyle w:val="Marker"/>
          <w:i/>
          <w:noProof/>
          <w:sz w:val="24"/>
          <w:lang w:val="bg-BG"/>
        </w:rPr>
        <w:t>[…]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FF"/>
          <w:lang w:val="pl-PL"/>
        </w:rPr>
      </w:pPr>
      <w:r>
        <w:rPr>
          <w:rStyle w:val="FootnoteReference"/>
        </w:rPr>
        <w:footnoteRef/>
      </w:r>
      <w:r>
        <w:tab/>
        <w:t>ОВ L 241, 17.9.2015 г., стр. 1.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204, 21.7.1998 г., стр. 37.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</w:t>
      </w:r>
      <w:r>
        <w:t>В</w:t>
      </w:r>
      <w:r>
        <w:rPr>
          <w:lang w:val="pl-PL"/>
        </w:rPr>
        <w:t xml:space="preserve"> L 217, 5.8.1998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18.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266, 3.1.2002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 xml:space="preserve">. 32 </w:t>
      </w:r>
      <w:r>
        <w:t>и</w:t>
      </w:r>
      <w:r>
        <w:rPr>
          <w:lang w:val="pl-PL"/>
        </w:rPr>
        <w:t xml:space="preserve"> </w:t>
      </w:r>
      <w:r>
        <w:t>Притурка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ЕИП</w:t>
      </w:r>
      <w:r>
        <w:rPr>
          <w:lang w:val="pl-PL"/>
        </w:rPr>
        <w:t xml:space="preserve"> № 49, 3.10.2002 </w:t>
      </w:r>
      <w:r>
        <w:t>г</w:t>
      </w:r>
      <w:r>
        <w:rPr>
          <w:lang w:val="pl-PL"/>
        </w:rPr>
        <w:t xml:space="preserve">., </w:t>
      </w:r>
      <w:r>
        <w:t>ст</w:t>
      </w:r>
      <w:r>
        <w:rPr>
          <w:lang w:val="pl-PL"/>
        </w:rPr>
        <w:t>p. 22.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266, 3.1.2002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 xml:space="preserve">. 32 </w:t>
      </w:r>
      <w:r>
        <w:t>и</w:t>
      </w:r>
      <w:r>
        <w:rPr>
          <w:lang w:val="pl-PL"/>
        </w:rPr>
        <w:t xml:space="preserve"> </w:t>
      </w:r>
      <w:r>
        <w:t>Притурка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ЕИП</w:t>
      </w:r>
      <w:r>
        <w:rPr>
          <w:lang w:val="pl-PL"/>
        </w:rPr>
        <w:t xml:space="preserve"> № 49, 3.10.2002 </w:t>
      </w:r>
      <w:r>
        <w:t>г</w:t>
      </w:r>
      <w:r>
        <w:rPr>
          <w:lang w:val="pl-PL"/>
        </w:rPr>
        <w:t xml:space="preserve">., </w:t>
      </w:r>
      <w:r>
        <w:t>ст</w:t>
      </w:r>
      <w:r>
        <w:rPr>
          <w:lang w:val="pl-PL"/>
        </w:rPr>
        <w:t>p. 22.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sym w:font="Symbol" w:char="F02A"/>
      </w:r>
      <w:r>
        <w:rPr>
          <w:lang w:val="pl-PL"/>
        </w:rPr>
        <w:t xml:space="preserve"> </w:t>
      </w:r>
      <w:r>
        <w:rPr>
          <w:lang w:val="pl-PL"/>
        </w:rPr>
        <w:tab/>
        <w:t>[</w:t>
      </w:r>
      <w:r>
        <w:t>Без</w:t>
      </w:r>
      <w:r>
        <w:rPr>
          <w:lang w:val="pl-PL"/>
        </w:rPr>
        <w:t xml:space="preserve"> </w:t>
      </w:r>
      <w:r>
        <w:t>отбелязани</w:t>
      </w:r>
      <w:r>
        <w:rPr>
          <w:lang w:val="pl-PL"/>
        </w:rPr>
        <w:t xml:space="preserve"> </w:t>
      </w:r>
      <w:r>
        <w:t>конституционни</w:t>
      </w:r>
      <w:r>
        <w:rPr>
          <w:lang w:val="pl-PL"/>
        </w:rPr>
        <w:t xml:space="preserve"> </w:t>
      </w:r>
      <w:r>
        <w:t>изисквания</w:t>
      </w:r>
      <w:r>
        <w:rPr>
          <w:lang w:val="pl-PL"/>
        </w:rPr>
        <w:t>.] [</w:t>
      </w:r>
      <w:r>
        <w:t>С</w:t>
      </w:r>
      <w:r>
        <w:rPr>
          <w:lang w:val="pl-PL"/>
        </w:rPr>
        <w:t xml:space="preserve"> </w:t>
      </w:r>
      <w:r>
        <w:t>отбелязани</w:t>
      </w:r>
      <w:r>
        <w:rPr>
          <w:lang w:val="pl-PL"/>
        </w:rPr>
        <w:t xml:space="preserve"> </w:t>
      </w:r>
      <w:r>
        <w:t>конституционни</w:t>
      </w:r>
      <w:r>
        <w:rPr>
          <w:lang w:val="pl-PL"/>
        </w:rPr>
        <w:t xml:space="preserve"> </w:t>
      </w:r>
      <w:r>
        <w:t>изисквания</w:t>
      </w:r>
      <w:r>
        <w:rPr>
          <w:lang w:val="pl-PL"/>
        </w:rPr>
        <w:t>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62E34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EBE04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8F6B4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2A4E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C24B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565A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814CC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C7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RNANDEZ ANTUNEZ Maria Aranzazu (GROW)">
    <w15:presenceInfo w15:providerId="None" w15:userId="HERNANDEZ ANTUNEZ Maria Aranzazu (GRO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8 13:45:5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1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5B20411-A7D4-4986-94E7-279B07649F46"/>
    <w:docVar w:name="LW_COVERPAGE_TYPE" w:val="1"/>
    <w:docVar w:name="LW_CROSSREFERENCE" w:val="&lt;UNUSED&gt;"/>
    <w:docVar w:name="LW_DocType" w:val="ANNEX"/>
    <w:docVar w:name="LW_EMISSION" w:val="31.1.2019"/>
    <w:docVar w:name="LW_EMISSION_ISODATE" w:val="2019-01-3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0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0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9) 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  <w:lang w:val="en-US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  <w:lang w:val="en-US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  <w:lang w:val="en-US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  <w:lang w:val="en-US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B740-3405-4A82-8E32-054304C1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982</Words>
  <Characters>5276</Characters>
  <Application>Microsoft Office Word</Application>
  <DocSecurity>0</DocSecurity>
  <Lines>119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KARLOWSKI Mikolaj</dc:creator>
  <cp:lastModifiedBy>DIGIT/C6</cp:lastModifiedBy>
  <cp:revision>8</cp:revision>
  <dcterms:created xsi:type="dcterms:W3CDTF">2019-01-16T10:07:00Z</dcterms:created>
  <dcterms:modified xsi:type="dcterms:W3CDTF">2019-01-28T12:45:00Z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