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4F126317-097B-42BD-B2AB-C03B9B78E807" style="width:450.75pt;height:436.5pt">
            <v:imagedata r:id="rId9" o:title=""/>
          </v:shape>
        </w:pict>
      </w:r>
    </w:p>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ОБЯСНИТЕЛЕН МЕМОРАНДУМ</w:t>
      </w:r>
    </w:p>
    <w:p>
      <w:pPr>
        <w:pStyle w:val="ManualHeading1"/>
        <w:rPr>
          <w:noProof/>
        </w:rPr>
      </w:pPr>
      <w:r>
        <w:rPr>
          <w:noProof/>
        </w:rPr>
        <w:t>1.</w:t>
      </w:r>
      <w:r>
        <w:rPr>
          <w:noProof/>
        </w:rPr>
        <w:tab/>
        <w:t>КОНТЕКСТ НА ПРЕДЛОЖЕНИЕТО</w:t>
      </w:r>
    </w:p>
    <w:p>
      <w:pPr>
        <w:pStyle w:val="ManualHeading2"/>
        <w:rPr>
          <w:rFonts w:eastAsia="Arial Unicode MS"/>
          <w:noProof/>
        </w:rPr>
      </w:pPr>
      <w:r>
        <w:rPr>
          <w:noProof/>
          <w:color w:val="000000"/>
          <w:u w:color="000000"/>
          <w:bdr w:val="nil"/>
        </w:rPr>
        <w:t>•</w:t>
      </w:r>
      <w:r>
        <w:rPr>
          <w:noProof/>
        </w:rPr>
        <w:tab/>
        <w:t>Основания и цели на предложението</w:t>
      </w:r>
    </w:p>
    <w:p>
      <w:pPr>
        <w:pStyle w:val="Text1"/>
        <w:rPr>
          <w:noProof/>
        </w:rPr>
      </w:pPr>
      <w:r>
        <w:rPr>
          <w:noProof/>
        </w:rPr>
        <w:t>Проектът на решение на Съвместния комитет на ЕИП (приложен към предложението за решение на Съвета) има за цел да бъде изменено приложение II (Технически правила, стандарти, изпитвания и сертифициране) и приложение XI (Електронни комуникации, аудио-визуални услуги и информационно общество) към Споразумението за ЕИП, за да бъде включена Директива (ЕС) 2015/1535 на Европейския парламент и на Съвета от 9 септември 2015 г., установяваща процедура за предоставянето на информация в сферата на техническите регламенти и правила относно услугите на информационното общество</w:t>
      </w:r>
      <w:r>
        <w:rPr>
          <w:rStyle w:val="FootnoteReference"/>
          <w:noProof/>
        </w:rPr>
        <w:footnoteReference w:id="1"/>
      </w:r>
      <w:r>
        <w:rPr>
          <w:noProof/>
        </w:rPr>
        <w:t>.</w:t>
      </w:r>
    </w:p>
    <w:p>
      <w:pPr>
        <w:pStyle w:val="ManualHeading2"/>
        <w:rPr>
          <w:rFonts w:eastAsia="Arial Unicode MS"/>
          <w:noProof/>
          <w:color w:val="000000"/>
          <w:u w:color="000000"/>
          <w:bdr w:val="nil"/>
        </w:rPr>
      </w:pPr>
      <w:r>
        <w:rPr>
          <w:noProof/>
          <w:color w:val="000000"/>
          <w:u w:color="000000"/>
          <w:bdr w:val="nil"/>
        </w:rPr>
        <w:t>•</w:t>
      </w:r>
      <w:r>
        <w:rPr>
          <w:noProof/>
        </w:rPr>
        <w:tab/>
        <w:t>Съгласуваност с действащите разпоредби в тази област на политиката</w:t>
      </w:r>
    </w:p>
    <w:p>
      <w:pPr>
        <w:pStyle w:val="Text1"/>
        <w:rPr>
          <w:noProof/>
        </w:rPr>
      </w:pPr>
      <w:r>
        <w:rPr>
          <w:noProof/>
        </w:rPr>
        <w:t xml:space="preserve">Приложеният проект на решение на Съвместния комитет разширява обхвата на вече съществуващата политика на ЕС, за да включи в нея членуващите в ЕИП държави от ЕАСТ (Норвегия, Исландия и Лихтенщайн). </w:t>
      </w:r>
    </w:p>
    <w:p>
      <w:pPr>
        <w:pStyle w:val="ManualHeading2"/>
        <w:rPr>
          <w:rFonts w:eastAsia="Arial Unicode MS"/>
          <w:noProof/>
        </w:rPr>
      </w:pPr>
      <w:r>
        <w:rPr>
          <w:noProof/>
          <w:color w:val="000000"/>
          <w:u w:color="000000"/>
          <w:bdr w:val="nil"/>
        </w:rPr>
        <w:t>•</w:t>
      </w:r>
      <w:r>
        <w:rPr>
          <w:noProof/>
        </w:rPr>
        <w:tab/>
        <w:t>Съгласуваност с други политики на Съюза</w:t>
      </w:r>
    </w:p>
    <w:p>
      <w:pPr>
        <w:pStyle w:val="Text1"/>
        <w:rPr>
          <w:noProof/>
        </w:rPr>
      </w:pPr>
      <w:r>
        <w:rPr>
          <w:noProof/>
        </w:rPr>
        <w:t xml:space="preserve">Разширяването на прилагането на достиженията на правото на ЕС за членуващите в ЕИП държави от ЕАСТ чрез включването на тези достижения в Споразумението за ЕИП се извършва в съответствие с целите и принципите на това споразумение, с цел създаването на динамично и хомогенно европейско икономическо пространство, основано на общи правила и еднакви условия на конкуренция. </w:t>
      </w:r>
    </w:p>
    <w:p>
      <w:pPr>
        <w:pStyle w:val="ManualHeading1"/>
        <w:rPr>
          <w:noProof/>
        </w:rPr>
      </w:pPr>
      <w:r>
        <w:rPr>
          <w:noProof/>
        </w:rPr>
        <w:t>2.</w:t>
      </w:r>
      <w:r>
        <w:rPr>
          <w:noProof/>
        </w:rPr>
        <w:tab/>
        <w:t>ПРАВНО ОСНОВАНИЕ, СУБСИДИАРНОСТ И ПРОПОРЦИОНАЛНОСТ</w:t>
      </w:r>
    </w:p>
    <w:p>
      <w:pPr>
        <w:pStyle w:val="ManualHeading2"/>
        <w:rPr>
          <w:rFonts w:eastAsia="Arial Unicode MS"/>
          <w:noProof/>
          <w:u w:color="000000"/>
          <w:bdr w:val="nil"/>
        </w:rPr>
      </w:pPr>
      <w:r>
        <w:rPr>
          <w:noProof/>
        </w:rPr>
        <w:t>•</w:t>
      </w:r>
      <w:r>
        <w:rPr>
          <w:noProof/>
        </w:rPr>
        <w:tab/>
        <w:t>Правно основание</w:t>
      </w:r>
    </w:p>
    <w:p>
      <w:pPr>
        <w:pStyle w:val="Text1"/>
        <w:rPr>
          <w:noProof/>
        </w:rPr>
      </w:pPr>
      <w:r>
        <w:rPr>
          <w:noProof/>
        </w:rPr>
        <w:t>Законодателството, което трябва да бъде включено в Споразумението за ЕИП, се основава на членове 114, 337 и 43 от Договора за функционирането на Европейския съюз.</w:t>
      </w:r>
    </w:p>
    <w:p>
      <w:pPr>
        <w:pStyle w:val="Text1"/>
        <w:rPr>
          <w:noProof/>
        </w:rPr>
      </w:pPr>
      <w:r>
        <w:rPr>
          <w:noProof/>
        </w:rPr>
        <w:t>Съгласно член 1, параграф 3 от Регламент (ЕО) № 2894/94 на Съвета</w:t>
      </w:r>
      <w:r>
        <w:rPr>
          <w:rStyle w:val="FootnoteReference"/>
          <w:noProof/>
        </w:rPr>
        <w:footnoteReference w:id="2"/>
      </w:r>
      <w:r>
        <w:rPr>
          <w:noProof/>
        </w:rPr>
        <w:t xml:space="preserve"> относно условията за прилагане на Споразумението за ЕИП Съветът определя въз основа на предложение на Комисията позицията, която трябва да се заеме от името на Съюза по отношение на подобни решения. </w:t>
      </w:r>
    </w:p>
    <w:p>
      <w:pPr>
        <w:pStyle w:val="Text1"/>
        <w:rPr>
          <w:noProof/>
        </w:rPr>
      </w:pPr>
      <w:r>
        <w:rPr>
          <w:noProof/>
        </w:rPr>
        <w:t>В сътрудничество с ЕСВД Комисията представя проекта на решение на Съвместния комитет на ЕИП пред Съвета, който следва да го приеме като позиция на Съюза. Комисията се надява да има възможност да представи позицията на Съюза пред Съвместния комитет на ЕИП възможно най-скоро.</w:t>
      </w:r>
    </w:p>
    <w:p>
      <w:pPr>
        <w:pStyle w:val="ManualHeading2"/>
        <w:rPr>
          <w:rFonts w:eastAsia="Arial Unicode MS"/>
          <w:noProof/>
          <w:u w:color="000000"/>
          <w:bdr w:val="nil"/>
        </w:rPr>
      </w:pPr>
      <w:r>
        <w:rPr>
          <w:noProof/>
        </w:rPr>
        <w:t>•</w:t>
      </w:r>
      <w:r>
        <w:rPr>
          <w:noProof/>
        </w:rPr>
        <w:tab/>
        <w:t xml:space="preserve">Субсидиарност (при неизключителна компетентност) </w:t>
      </w:r>
    </w:p>
    <w:p>
      <w:pPr>
        <w:pStyle w:val="Text1"/>
        <w:rPr>
          <w:noProof/>
        </w:rPr>
      </w:pPr>
      <w:r>
        <w:rPr>
          <w:noProof/>
        </w:rPr>
        <w:t xml:space="preserve">Предложението е в съответствие с принципа на субсидиарност по следната причина. </w:t>
      </w:r>
    </w:p>
    <w:p>
      <w:pPr>
        <w:pStyle w:val="Text1"/>
        <w:rPr>
          <w:noProof/>
        </w:rPr>
      </w:pPr>
      <w:r>
        <w:rPr>
          <w:noProof/>
        </w:rPr>
        <w:t xml:space="preserve">Целта на настоящото предложение, а именно да се гарантира хомогенността на вътрешния пазар, не може да бъде постигната в достатъчна степен от държавите членки и следователно може, с оглед на въздействието, да бъде постигната по-добре на равнището на Съюза. </w:t>
      </w:r>
    </w:p>
    <w:p>
      <w:pPr>
        <w:pStyle w:val="Text1"/>
        <w:rPr>
          <w:noProof/>
        </w:rPr>
      </w:pPr>
      <w:r>
        <w:rPr>
          <w:noProof/>
        </w:rPr>
        <w:t xml:space="preserve">Процесът на включване на достиженията на правото на ЕС в Споразумението за ЕИП се извършва в съответствие с Регламент (ЕО) № 2894/94 на Съвета от 28 ноември 1994 г. относно условията за прилагане на Споразумението за Европейското икономическо пространство, в който се потвърждава възприетият подход. </w:t>
      </w:r>
    </w:p>
    <w:p>
      <w:pPr>
        <w:pStyle w:val="ManualHeading2"/>
        <w:rPr>
          <w:rFonts w:eastAsia="Arial Unicode MS"/>
          <w:noProof/>
          <w:u w:color="000000"/>
          <w:bdr w:val="nil"/>
        </w:rPr>
      </w:pPr>
      <w:r>
        <w:rPr>
          <w:noProof/>
        </w:rPr>
        <w:t>•</w:t>
      </w:r>
      <w:r>
        <w:rPr>
          <w:noProof/>
        </w:rPr>
        <w:tab/>
        <w:t>Пропорционалност</w:t>
      </w:r>
    </w:p>
    <w:p>
      <w:pPr>
        <w:pStyle w:val="Text1"/>
        <w:rPr>
          <w:noProof/>
        </w:rPr>
      </w:pPr>
      <w:r>
        <w:rPr>
          <w:noProof/>
        </w:rPr>
        <w:t>В съответствие с принципа на пропорционалност настоящото предложение не надхвърля необходимото за постигането на своята цел.</w:t>
      </w:r>
    </w:p>
    <w:p>
      <w:pPr>
        <w:pStyle w:val="ManualHeading2"/>
        <w:rPr>
          <w:rFonts w:eastAsia="Arial Unicode MS"/>
          <w:noProof/>
          <w:u w:color="000000"/>
          <w:bdr w:val="nil"/>
        </w:rPr>
      </w:pPr>
      <w:r>
        <w:rPr>
          <w:noProof/>
        </w:rPr>
        <w:t>•</w:t>
      </w:r>
      <w:r>
        <w:rPr>
          <w:noProof/>
        </w:rPr>
        <w:tab/>
        <w:t>Избор на инструмент</w:t>
      </w:r>
    </w:p>
    <w:p>
      <w:pPr>
        <w:pStyle w:val="Text1"/>
        <w:rPr>
          <w:noProof/>
        </w:rPr>
      </w:pPr>
      <w:r>
        <w:rPr>
          <w:noProof/>
        </w:rPr>
        <w:t xml:space="preserve">В съответствие с член 98 от Споразумението за ЕИП избраният инструмент е решение на Съвместния комитет на ЕИП. Съвместният комитет на ЕИП осигурява ефективното изпълнение и функциониране на Споразумението за ЕИП. За тази цел той взема решения в случаите, предвидени в това споразумение. </w:t>
      </w:r>
    </w:p>
    <w:p>
      <w:pPr>
        <w:pStyle w:val="ManualHeading1"/>
        <w:rPr>
          <w:noProof/>
        </w:rPr>
      </w:pPr>
      <w:r>
        <w:rPr>
          <w:noProof/>
        </w:rPr>
        <w:t>3.</w:t>
      </w:r>
      <w:r>
        <w:rPr>
          <w:noProof/>
        </w:rPr>
        <w:tab/>
        <w:t>РЕЗУЛТАТИ ОТ ПОСЛЕДВАЩИТЕ ОЦЕНКИ, ОТ КОНСУЛТАЦИИТЕ СЪС ЗАИНТЕРЕСОВАНИТЕ СТРАНИ И ОТ ОЦЕНКИТЕ НА ВЪЗДЕЙСТВИЕТО</w:t>
      </w:r>
    </w:p>
    <w:p>
      <w:pPr>
        <w:pStyle w:val="ManualHeading2"/>
        <w:rPr>
          <w:rFonts w:eastAsia="Arial Unicode MS"/>
          <w:noProof/>
          <w:u w:color="000000"/>
          <w:bdr w:val="nil"/>
        </w:rPr>
      </w:pPr>
      <w:r>
        <w:rPr>
          <w:noProof/>
        </w:rPr>
        <w:t>•</w:t>
      </w:r>
      <w:r>
        <w:rPr>
          <w:noProof/>
        </w:rPr>
        <w:tab/>
        <w:t>Събиране и използване на експертни становища</w:t>
      </w:r>
    </w:p>
    <w:p>
      <w:pPr>
        <w:pStyle w:val="Text1"/>
        <w:rPr>
          <w:noProof/>
        </w:rPr>
      </w:pPr>
      <w:r>
        <w:rPr>
          <w:noProof/>
        </w:rPr>
        <w:t xml:space="preserve">Не е приложимо. </w:t>
      </w:r>
    </w:p>
    <w:p>
      <w:pPr>
        <w:pStyle w:val="ManualHeading2"/>
        <w:rPr>
          <w:rFonts w:eastAsia="Arial Unicode MS"/>
          <w:noProof/>
          <w:u w:color="000000"/>
          <w:bdr w:val="nil"/>
        </w:rPr>
      </w:pPr>
      <w:r>
        <w:rPr>
          <w:noProof/>
        </w:rPr>
        <w:t>•</w:t>
      </w:r>
      <w:r>
        <w:rPr>
          <w:noProof/>
        </w:rPr>
        <w:tab/>
        <w:t>Оценка на въздействието</w:t>
      </w:r>
    </w:p>
    <w:p>
      <w:pPr>
        <w:pStyle w:val="Text1"/>
        <w:rPr>
          <w:noProof/>
        </w:rPr>
      </w:pPr>
      <w:r>
        <w:rPr>
          <w:noProof/>
        </w:rPr>
        <w:t xml:space="preserve">Не е приложимо. </w:t>
      </w:r>
    </w:p>
    <w:p>
      <w:pPr>
        <w:pStyle w:val="ManualHeading2"/>
        <w:rPr>
          <w:noProof/>
        </w:rPr>
      </w:pPr>
      <w:r>
        <w:rPr>
          <w:noProof/>
        </w:rPr>
        <w:t>4.</w:t>
      </w:r>
      <w:r>
        <w:rPr>
          <w:noProof/>
        </w:rPr>
        <w:tab/>
        <w:t>ОТРАЖЕНИЕ ВЪРХУ БЮДЖЕТА</w:t>
      </w:r>
    </w:p>
    <w:p>
      <w:pPr>
        <w:pStyle w:val="Text1"/>
        <w:rPr>
          <w:noProof/>
        </w:rPr>
      </w:pPr>
      <w:r>
        <w:rPr>
          <w:noProof/>
        </w:rPr>
        <w:t>Не се очаква отражение върху бюджета в резултат на включването на Директива (ЕС) 2015/1535 в Споразумението за ЕИП.</w:t>
      </w:r>
    </w:p>
    <w:p>
      <w:pPr>
        <w:pStyle w:val="ManualHeading1"/>
        <w:rPr>
          <w:noProof/>
        </w:rPr>
      </w:pPr>
      <w:r>
        <w:rPr>
          <w:noProof/>
        </w:rPr>
        <w:t>5.</w:t>
      </w:r>
      <w:r>
        <w:rPr>
          <w:noProof/>
        </w:rPr>
        <w:tab/>
        <w:t>ДРУГИ ЕЛЕМЕНТИ</w:t>
      </w:r>
    </w:p>
    <w:p>
      <w:pPr>
        <w:pStyle w:val="ManualHeading2"/>
        <w:rPr>
          <w:rFonts w:eastAsia="Arial Unicode MS"/>
          <w:noProof/>
          <w:u w:val="single"/>
          <w:bdr w:val="nil"/>
        </w:rPr>
      </w:pPr>
      <w:r>
        <w:rPr>
          <w:noProof/>
          <w:u w:val="single"/>
          <w:bdr w:val="nil"/>
        </w:rPr>
        <w:t xml:space="preserve">Основни адаптации, поискани от страна на ЕАСТ </w:t>
      </w:r>
    </w:p>
    <w:p>
      <w:pPr>
        <w:rPr>
          <w:noProof/>
        </w:rPr>
      </w:pPr>
      <w:r>
        <w:rPr>
          <w:noProof/>
        </w:rPr>
        <w:t>Обосновка и предложено решение:</w:t>
      </w:r>
    </w:p>
    <w:p>
      <w:pPr>
        <w:rPr>
          <w:noProof/>
          <w:u w:val="single"/>
        </w:rPr>
      </w:pPr>
      <w:r>
        <w:rPr>
          <w:noProof/>
          <w:u w:val="single"/>
        </w:rPr>
        <w:t>Определение на понятието „техническа спецификация“, член 1, параграф 1, буква в), адаптация a)</w:t>
      </w:r>
    </w:p>
    <w:p>
      <w:pPr>
        <w:rPr>
          <w:noProof/>
        </w:rPr>
      </w:pPr>
      <w:r>
        <w:rPr>
          <w:noProof/>
        </w:rPr>
        <w:t>С тази адаптация се цели изречението „селскостопански продукти, както е посочено в (…) член 38, параграф 1 от ДФЕС“ да не се прилага като част от определението на „техническа спецификация“, тъй като член 38, параграф 1 от ДФЕС се отнася за общата селскостопанска политика (ОСП) и общата политика в областта на рибарството (ОПОР) на ЕС, които не попадат в обхвата на Споразумението за ЕИП. Същата адаптация вече се прилага в рамките на Споразумението за ЕИП.</w:t>
      </w:r>
    </w:p>
    <w:p>
      <w:pPr>
        <w:rPr>
          <w:noProof/>
          <w:u w:val="single"/>
        </w:rPr>
      </w:pPr>
      <w:r>
        <w:rPr>
          <w:noProof/>
          <w:u w:val="single"/>
        </w:rPr>
        <w:t>Искания за допълнителна информация, член 5, параграф 1, адаптация в)</w:t>
      </w:r>
    </w:p>
    <w:p>
      <w:pPr>
        <w:rPr>
          <w:noProof/>
        </w:rPr>
      </w:pPr>
      <w:r>
        <w:rPr>
          <w:noProof/>
        </w:rPr>
        <w:t>Включена е адаптация с цел да се осигури достатъчен обмен на информация между стълба на ЕС и стълба на ЕАСТ. Следва да се отбележи, че подобна адаптация вече се прилага в рамките на Споразумението за ЕИП.</w:t>
      </w:r>
    </w:p>
    <w:p>
      <w:pPr>
        <w:rPr>
          <w:noProof/>
          <w:u w:val="single"/>
        </w:rPr>
      </w:pPr>
      <w:r>
        <w:rPr>
          <w:noProof/>
          <w:u w:val="single"/>
        </w:rPr>
        <w:t>Препращане на коментари, член 5, параграф 2, адаптация г)</w:t>
      </w:r>
    </w:p>
    <w:p>
      <w:pPr>
        <w:rPr>
          <w:noProof/>
        </w:rPr>
      </w:pPr>
      <w:r>
        <w:rPr>
          <w:noProof/>
        </w:rPr>
        <w:t>В тази адаптация се пояснява как коментарите относно проекти на технически правила се препращат между стълба на ЕС и стълба на ЕАСТ. Следва да се отбележи, че същата адаптация вече се прилага в рамките на Споразумението за ЕИП.</w:t>
      </w:r>
    </w:p>
    <w:p>
      <w:pPr>
        <w:spacing w:before="0"/>
        <w:rPr>
          <w:noProof/>
          <w:szCs w:val="24"/>
          <w:u w:val="single"/>
        </w:rPr>
      </w:pPr>
      <w:r>
        <w:rPr>
          <w:noProof/>
          <w:u w:val="single"/>
        </w:rPr>
        <w:t>Подробни становища, член 6, параграфи 1,2, и 7, адаптация д)</w:t>
      </w:r>
    </w:p>
    <w:p>
      <w:pPr>
        <w:spacing w:before="0"/>
        <w:rPr>
          <w:noProof/>
          <w:szCs w:val="24"/>
        </w:rPr>
      </w:pPr>
      <w:r>
        <w:rPr>
          <w:noProof/>
        </w:rPr>
        <w:t xml:space="preserve">За по-голяма яснота това адаптиране гарантира, че подробни становища могат да бъдат издавани единствено в рамките на стълба на ЕАСТ, т.е. че подробни становища не могат да бъдат изпращани от държава от ЕАСТ до държава — членка на ЕС, или обратно.   </w:t>
      </w:r>
    </w:p>
    <w:p>
      <w:pPr>
        <w:keepNext/>
        <w:rPr>
          <w:noProof/>
          <w:u w:val="single"/>
        </w:rPr>
      </w:pPr>
      <w:r>
        <w:rPr>
          <w:noProof/>
          <w:u w:val="single"/>
        </w:rPr>
        <w:t>Неприлагане на член 6, параграфи 3—6, адаптация е)</w:t>
      </w:r>
    </w:p>
    <w:p>
      <w:pPr>
        <w:spacing w:before="0"/>
        <w:rPr>
          <w:noProof/>
          <w:szCs w:val="24"/>
        </w:rPr>
      </w:pPr>
      <w:r>
        <w:rPr>
          <w:noProof/>
        </w:rPr>
        <w:t>Разпоредбите, съдържащи се в член 6, параграфи 3—6, предвиждат продължителен период на изчакване в ситуациите, когато институциите на ЕС обмислят изготвянето на законодателство в област, обхваната от национален проект на технически регламент. Тези разпоредби попадат извън обхвата на Споразумението за ЕИП.</w:t>
      </w:r>
    </w:p>
    <w:p>
      <w:pPr>
        <w:spacing w:before="0"/>
        <w:rPr>
          <w:noProof/>
          <w:szCs w:val="24"/>
        </w:rPr>
      </w:pPr>
    </w:p>
    <w:p>
      <w:pPr>
        <w:spacing w:before="0"/>
        <w:rPr>
          <w:noProof/>
          <w:szCs w:val="24"/>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t>2019/0021 (NLE)</w:t>
      </w:r>
    </w:p>
    <w:p>
      <w:pPr>
        <w:pStyle w:val="Statut"/>
        <w:rPr>
          <w:noProof/>
        </w:rPr>
      </w:pPr>
      <w:r>
        <w:rPr>
          <w:noProof/>
        </w:rPr>
        <w:t>Предложение за</w:t>
      </w:r>
    </w:p>
    <w:p>
      <w:pPr>
        <w:pStyle w:val="Typedudocument"/>
        <w:rPr>
          <w:noProof/>
        </w:rPr>
      </w:pPr>
      <w:r>
        <w:rPr>
          <w:noProof/>
        </w:rPr>
        <w:t>РЕШЕНИЕ НА СЪВЕТА</w:t>
      </w:r>
    </w:p>
    <w:p>
      <w:pPr>
        <w:pStyle w:val="Titreobjet"/>
        <w:rPr>
          <w:noProof/>
        </w:rPr>
      </w:pPr>
      <w:r>
        <w:rPr>
          <w:noProof/>
        </w:rPr>
        <w:t>относно позицията, която да бъде заета от името на Европейския съюз</w:t>
      </w:r>
      <w:r>
        <w:rPr>
          <w:noProof/>
        </w:rPr>
        <w:br/>
        <w:t>в рамките на Съвместния комитет на ЕИП във връзка с изменение на</w:t>
      </w:r>
      <w:r>
        <w:rPr>
          <w:noProof/>
        </w:rPr>
        <w:br/>
        <w:t>приложение II (Технически правила, стандарти, изпитвания и сертифициране) и приложение XI (Електронни комуникации, аудио-визуални услуги и информационно общество) към Споразумението за ЕИП</w:t>
      </w:r>
    </w:p>
    <w:p>
      <w:pPr>
        <w:pStyle w:val="IntrtEEE"/>
        <w:rPr>
          <w:noProof/>
        </w:rPr>
      </w:pPr>
      <w:r>
        <w:rPr>
          <w:noProof/>
        </w:rPr>
        <w:t>(текст от значение за ЕИП)</w:t>
      </w:r>
    </w:p>
    <w:p>
      <w:pPr>
        <w:pStyle w:val="Institutionquiagit"/>
        <w:rPr>
          <w:noProof/>
        </w:rPr>
      </w:pPr>
      <w:r>
        <w:rPr>
          <w:noProof/>
        </w:rPr>
        <w:t>СЪВЕТЪТ НА ЕВРОПЕЙСКИЯ СЪЮЗ,</w:t>
      </w:r>
    </w:p>
    <w:p>
      <w:pPr>
        <w:rPr>
          <w:noProof/>
        </w:rPr>
      </w:pPr>
      <w:r>
        <w:rPr>
          <w:noProof/>
        </w:rPr>
        <w:t>като взе предвид Договора за функционирането на Европейския съюз, и по-специално членове 114, 337 и 43 във връзка с член 218, параграф 9 от него,</w:t>
      </w:r>
    </w:p>
    <w:p>
      <w:pPr>
        <w:rPr>
          <w:noProof/>
        </w:rPr>
      </w:pPr>
      <w:r>
        <w:rPr>
          <w:noProof/>
        </w:rPr>
        <w:t>като взе предвид Регламент (ЕО) № 2894/94 на Съвета от 28 ноември 1994 г. относно условията за прилагане на Споразумението за Европейското икономическо пространство</w:t>
      </w:r>
      <w:r>
        <w:rPr>
          <w:rStyle w:val="FootnoteReference"/>
          <w:noProof/>
        </w:rPr>
        <w:footnoteReference w:id="3"/>
      </w:r>
      <w:r>
        <w:rPr>
          <w:noProof/>
        </w:rPr>
        <w:t>, и по-специално член 1, параграф 3 от него,</w:t>
      </w:r>
    </w:p>
    <w:p>
      <w:pPr>
        <w:rPr>
          <w:noProof/>
        </w:rPr>
      </w:pPr>
      <w:r>
        <w:rPr>
          <w:noProof/>
        </w:rPr>
        <w:t>като взе предвид предложението на Европейската комисия,</w:t>
      </w:r>
    </w:p>
    <w:p>
      <w:pPr>
        <w:rPr>
          <w:noProof/>
        </w:rPr>
      </w:pPr>
      <w:r>
        <w:rPr>
          <w:noProof/>
        </w:rPr>
        <w:t>като има предвид, че:</w:t>
      </w:r>
    </w:p>
    <w:p>
      <w:pPr>
        <w:pStyle w:val="ManualConsidrant"/>
        <w:rPr>
          <w:noProof/>
        </w:rPr>
      </w:pPr>
      <w:r>
        <w:t>(1)</w:t>
      </w:r>
      <w:r>
        <w:tab/>
      </w:r>
      <w:r>
        <w:rPr>
          <w:noProof/>
        </w:rPr>
        <w:t>Споразумението за Европейското икономическо пространство</w:t>
      </w:r>
      <w:r>
        <w:rPr>
          <w:rStyle w:val="FootnoteReference"/>
          <w:noProof/>
        </w:rPr>
        <w:footnoteReference w:id="4"/>
      </w:r>
      <w:r>
        <w:rPr>
          <w:noProof/>
        </w:rPr>
        <w:t xml:space="preserve"> („Споразумението за ЕИП“) влезе в сила на 1 януари 1994 г.</w:t>
      </w:r>
    </w:p>
    <w:p>
      <w:pPr>
        <w:pStyle w:val="ManualConsidrant"/>
        <w:rPr>
          <w:noProof/>
        </w:rPr>
      </w:pPr>
      <w:r>
        <w:t>(2)</w:t>
      </w:r>
      <w:r>
        <w:tab/>
      </w:r>
      <w:r>
        <w:rPr>
          <w:noProof/>
        </w:rPr>
        <w:t xml:space="preserve">В съответствие с член 98 от Споразумението за ЕИП Съвместният комитет на ЕИП може да реши да измени, </w:t>
      </w:r>
      <w:r>
        <w:rPr>
          <w:i/>
          <w:noProof/>
        </w:rPr>
        <w:t>inter alia</w:t>
      </w:r>
      <w:r>
        <w:rPr>
          <w:noProof/>
        </w:rPr>
        <w:t>, приложение II (Технически правила, стандарти, изпитвания и сертифициране) и приложение XI (Електронни комуникации, аудио-визуални услуги и информационно общество) към Споразумението за ЕИП.</w:t>
      </w:r>
    </w:p>
    <w:p>
      <w:pPr>
        <w:pStyle w:val="ManualConsidrant"/>
        <w:rPr>
          <w:noProof/>
        </w:rPr>
      </w:pPr>
      <w:r>
        <w:t>(3)</w:t>
      </w:r>
      <w:r>
        <w:tab/>
      </w:r>
      <w:r>
        <w:rPr>
          <w:noProof/>
        </w:rPr>
        <w:t>Директива (ЕС) 2015/1535 на Европейския парламент и на Съвета</w:t>
      </w:r>
      <w:r>
        <w:rPr>
          <w:rStyle w:val="FootnoteReference"/>
          <w:noProof/>
        </w:rPr>
        <w:footnoteReference w:id="5"/>
      </w:r>
      <w:r>
        <w:rPr>
          <w:noProof/>
        </w:rPr>
        <w:t xml:space="preserve"> следва да бъде включена в Споразумението за ЕИП.</w:t>
      </w:r>
    </w:p>
    <w:p>
      <w:pPr>
        <w:pStyle w:val="ManualConsidrant"/>
        <w:rPr>
          <w:noProof/>
        </w:rPr>
      </w:pPr>
      <w:r>
        <w:t>(4)</w:t>
      </w:r>
      <w:r>
        <w:tab/>
      </w:r>
      <w:r>
        <w:rPr>
          <w:noProof/>
        </w:rPr>
        <w:t xml:space="preserve">Поради това приложение II (Технически правила, стандарти, изпитвания и сертифициране) и приложение XI (Електронни комуникации, аудио-визуални услуги и информационно общество) към Споразумението за ЕИП следва да бъдат съответно изменени. </w:t>
      </w:r>
    </w:p>
    <w:p>
      <w:pPr>
        <w:pStyle w:val="ManualConsidrant"/>
        <w:rPr>
          <w:noProof/>
        </w:rPr>
      </w:pPr>
      <w:r>
        <w:t>(5)</w:t>
      </w:r>
      <w:r>
        <w:tab/>
      </w:r>
      <w:r>
        <w:rPr>
          <w:noProof/>
        </w:rPr>
        <w:t>Ето защо позицията на Съюза в рамките на Съвместния комитет на ЕИП следва да се основава на приложения проект на решение,</w:t>
      </w:r>
    </w:p>
    <w:p>
      <w:pPr>
        <w:pStyle w:val="Formuledadoption"/>
        <w:rPr>
          <w:noProof/>
        </w:rPr>
      </w:pPr>
      <w:r>
        <w:rPr>
          <w:noProof/>
        </w:rPr>
        <w:t xml:space="preserve">ПРИЕ НАСТОЯЩОТО РЕШЕНИЕ: </w:t>
      </w:r>
    </w:p>
    <w:p>
      <w:pPr>
        <w:pStyle w:val="Titrearticle"/>
        <w:rPr>
          <w:noProof/>
        </w:rPr>
      </w:pPr>
      <w:r>
        <w:rPr>
          <w:noProof/>
        </w:rPr>
        <w:t>Член 1</w:t>
      </w:r>
    </w:p>
    <w:p>
      <w:pPr>
        <w:rPr>
          <w:noProof/>
        </w:rPr>
      </w:pPr>
      <w:r>
        <w:rPr>
          <w:noProof/>
        </w:rPr>
        <w:t>Позицията, която да бъде заета от името на Съюза в рамките на Съвместния комитет на ЕИП във връзка с предложеното изменение на приложение II (Технически правила, стандарти, изпитвания и сертифициране) и приложение XI (Електронни комуникации, аудио-визуални услуги и информационно общество) към Споразумението за ЕИП, се основава на проекта на решение на Съвместния комитет на ЕИП, приложен към настоящото решение.</w:t>
      </w:r>
    </w:p>
    <w:p>
      <w:pPr>
        <w:pStyle w:val="Titrearticle"/>
        <w:rPr>
          <w:noProof/>
        </w:rPr>
      </w:pPr>
      <w:r>
        <w:rPr>
          <w:noProof/>
        </w:rPr>
        <w:t>Член 2</w:t>
      </w:r>
    </w:p>
    <w:p>
      <w:pPr>
        <w:keepLines/>
        <w:rPr>
          <w:noProof/>
        </w:rPr>
      </w:pPr>
      <w:r>
        <w:rPr>
          <w:noProof/>
        </w:rPr>
        <w:t>Настоящото решение влиза в сила в деня на приемането му.</w:t>
      </w:r>
    </w:p>
    <w:p>
      <w:pPr>
        <w:pStyle w:val="Fait"/>
        <w:rPr>
          <w:noProof/>
        </w:rPr>
      </w:pPr>
      <w:r>
        <w:t xml:space="preserve">Съставено в Брюксел на </w:t>
      </w:r>
      <w:r>
        <w:rPr>
          <w:rStyle w:val="Marker"/>
        </w:rPr>
        <w:t>[…]</w:t>
      </w:r>
      <w:r>
        <w:t xml:space="preserve"> година.</w:t>
      </w:r>
    </w:p>
    <w:p>
      <w:pPr>
        <w:pStyle w:val="Institutionquisigne"/>
        <w:rPr>
          <w:noProof/>
        </w:rPr>
      </w:pPr>
      <w:r>
        <w:rPr>
          <w:noProof/>
        </w:rPr>
        <w:tab/>
        <w:t>За Съвета</w:t>
      </w:r>
    </w:p>
    <w:p>
      <w:pPr>
        <w:pStyle w:val="Personnequisigne"/>
        <w:rPr>
          <w:noProof/>
        </w:rPr>
      </w:pPr>
      <w:r>
        <w:rPr>
          <w:noProof/>
        </w:rPr>
        <w:tab/>
        <w:t>Председател</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iCs/>
          <w:lang w:val="pl-PL"/>
        </w:rPr>
      </w:pPr>
      <w:r>
        <w:rPr>
          <w:rStyle w:val="FootnoteReference"/>
        </w:rPr>
        <w:footnoteRef/>
      </w:r>
      <w:r>
        <w:tab/>
        <w:t>OВ L 241, 17.9.2015 г., стр. 1—15.</w:t>
      </w:r>
    </w:p>
  </w:footnote>
  <w:footnote w:id="2">
    <w:p>
      <w:pPr>
        <w:pStyle w:val="FootnoteText"/>
        <w:rPr>
          <w:iCs/>
          <w:lang w:val="pl-PL"/>
        </w:rPr>
      </w:pPr>
      <w:r>
        <w:rPr>
          <w:rStyle w:val="FootnoteReference"/>
        </w:rPr>
        <w:footnoteRef/>
      </w:r>
      <w:r>
        <w:tab/>
        <w:t>ОВ L 305, 30.11.1994 г., стр. 6—8.</w:t>
      </w:r>
    </w:p>
  </w:footnote>
  <w:footnote w:id="3">
    <w:p>
      <w:pPr>
        <w:pStyle w:val="FootnoteText"/>
        <w:rPr>
          <w:lang w:val="pl-PL"/>
        </w:rPr>
      </w:pPr>
      <w:r>
        <w:rPr>
          <w:rStyle w:val="FootnoteReference"/>
        </w:rPr>
        <w:footnoteRef/>
      </w:r>
      <w:r>
        <w:rPr>
          <w:lang w:val="pl-PL"/>
        </w:rPr>
        <w:tab/>
      </w:r>
      <w:r>
        <w:t>ОВ</w:t>
      </w:r>
      <w:r>
        <w:rPr>
          <w:lang w:val="pl-PL"/>
        </w:rPr>
        <w:t xml:space="preserve"> L 305, 30.11.1994 </w:t>
      </w:r>
      <w:r>
        <w:t>г</w:t>
      </w:r>
      <w:r>
        <w:rPr>
          <w:lang w:val="pl-PL"/>
        </w:rPr>
        <w:t xml:space="preserve">., </w:t>
      </w:r>
      <w:r>
        <w:t>стр</w:t>
      </w:r>
      <w:r>
        <w:rPr>
          <w:lang w:val="pl-PL"/>
        </w:rPr>
        <w:t>. 6.</w:t>
      </w:r>
    </w:p>
  </w:footnote>
  <w:footnote w:id="4">
    <w:p>
      <w:pPr>
        <w:pStyle w:val="FootnoteText"/>
        <w:rPr>
          <w:lang w:val="pl-PL"/>
        </w:rPr>
      </w:pPr>
      <w:r>
        <w:rPr>
          <w:rStyle w:val="FootnoteReference"/>
        </w:rPr>
        <w:footnoteRef/>
      </w:r>
      <w:r>
        <w:rPr>
          <w:lang w:val="pl-PL"/>
        </w:rPr>
        <w:tab/>
      </w:r>
      <w:r>
        <w:t>ОВ</w:t>
      </w:r>
      <w:r>
        <w:rPr>
          <w:lang w:val="pl-PL"/>
        </w:rPr>
        <w:t xml:space="preserve"> L 1, 3.1.1994 </w:t>
      </w:r>
      <w:r>
        <w:t>г</w:t>
      </w:r>
      <w:r>
        <w:rPr>
          <w:lang w:val="pl-PL"/>
        </w:rPr>
        <w:t xml:space="preserve">., </w:t>
      </w:r>
      <w:r>
        <w:t>стр</w:t>
      </w:r>
      <w:r>
        <w:rPr>
          <w:lang w:val="pl-PL"/>
        </w:rPr>
        <w:t xml:space="preserve">. 3. </w:t>
      </w:r>
    </w:p>
  </w:footnote>
  <w:footnote w:id="5">
    <w:p>
      <w:pPr>
        <w:pStyle w:val="FootnoteText"/>
        <w:rPr>
          <w:lang w:val="pl-PL"/>
        </w:rPr>
      </w:pPr>
      <w:r>
        <w:rPr>
          <w:rStyle w:val="FootnoteReference"/>
        </w:rPr>
        <w:footnoteRef/>
      </w:r>
      <w:r>
        <w:rPr>
          <w:lang w:val="pl-PL"/>
        </w:rPr>
        <w:tab/>
      </w:r>
      <w:r>
        <w:t>Директива</w:t>
      </w:r>
      <w:r>
        <w:rPr>
          <w:lang w:val="pl-PL"/>
        </w:rPr>
        <w:t xml:space="preserve"> (</w:t>
      </w:r>
      <w:r>
        <w:t>ЕС</w:t>
      </w:r>
      <w:r>
        <w:rPr>
          <w:lang w:val="pl-PL"/>
        </w:rPr>
        <w:t xml:space="preserve">) 2015/1535 </w:t>
      </w:r>
      <w:r>
        <w:t>на</w:t>
      </w:r>
      <w:r>
        <w:rPr>
          <w:lang w:val="pl-PL"/>
        </w:rPr>
        <w:t xml:space="preserve"> </w:t>
      </w:r>
      <w:r>
        <w:t>Европейския</w:t>
      </w:r>
      <w:r>
        <w:rPr>
          <w:lang w:val="pl-PL"/>
        </w:rPr>
        <w:t xml:space="preserve"> </w:t>
      </w:r>
      <w:r>
        <w:t>парламент</w:t>
      </w:r>
      <w:r>
        <w:rPr>
          <w:lang w:val="pl-PL"/>
        </w:rPr>
        <w:t xml:space="preserve"> </w:t>
      </w:r>
      <w:r>
        <w:t>и</w:t>
      </w:r>
      <w:r>
        <w:rPr>
          <w:lang w:val="pl-PL"/>
        </w:rPr>
        <w:t xml:space="preserve"> </w:t>
      </w:r>
      <w:r>
        <w:t>на</w:t>
      </w:r>
      <w:r>
        <w:rPr>
          <w:lang w:val="pl-PL"/>
        </w:rPr>
        <w:t xml:space="preserve"> </w:t>
      </w:r>
      <w:r>
        <w:t>Съвета</w:t>
      </w:r>
      <w:r>
        <w:rPr>
          <w:lang w:val="pl-PL"/>
        </w:rPr>
        <w:t xml:space="preserve"> </w:t>
      </w:r>
      <w:r>
        <w:t>от</w:t>
      </w:r>
      <w:r>
        <w:rPr>
          <w:lang w:val="pl-PL"/>
        </w:rPr>
        <w:t xml:space="preserve"> 9 </w:t>
      </w:r>
      <w:r>
        <w:t>септември</w:t>
      </w:r>
      <w:r>
        <w:rPr>
          <w:lang w:val="pl-PL"/>
        </w:rPr>
        <w:t xml:space="preserve"> 2015 </w:t>
      </w:r>
      <w:r>
        <w:t>г</w:t>
      </w:r>
      <w:r>
        <w:rPr>
          <w:lang w:val="pl-PL"/>
        </w:rPr>
        <w:t xml:space="preserve">. </w:t>
      </w:r>
      <w:r>
        <w:t>установяваща</w:t>
      </w:r>
      <w:r>
        <w:rPr>
          <w:lang w:val="pl-PL"/>
        </w:rPr>
        <w:t xml:space="preserve"> </w:t>
      </w:r>
      <w:r>
        <w:t>процедура</w:t>
      </w:r>
      <w:r>
        <w:rPr>
          <w:lang w:val="pl-PL"/>
        </w:rPr>
        <w:t xml:space="preserve"> </w:t>
      </w:r>
      <w:r>
        <w:t>за</w:t>
      </w:r>
      <w:r>
        <w:rPr>
          <w:lang w:val="pl-PL"/>
        </w:rPr>
        <w:t xml:space="preserve"> </w:t>
      </w:r>
      <w:r>
        <w:t>предоставянето</w:t>
      </w:r>
      <w:r>
        <w:rPr>
          <w:lang w:val="pl-PL"/>
        </w:rPr>
        <w:t xml:space="preserve"> </w:t>
      </w:r>
      <w:r>
        <w:t>на</w:t>
      </w:r>
      <w:r>
        <w:rPr>
          <w:lang w:val="pl-PL"/>
        </w:rPr>
        <w:t xml:space="preserve"> </w:t>
      </w:r>
      <w:r>
        <w:t>информация</w:t>
      </w:r>
      <w:r>
        <w:rPr>
          <w:lang w:val="pl-PL"/>
        </w:rPr>
        <w:t xml:space="preserve"> </w:t>
      </w:r>
      <w:r>
        <w:t>в</w:t>
      </w:r>
      <w:r>
        <w:rPr>
          <w:lang w:val="pl-PL"/>
        </w:rPr>
        <w:t xml:space="preserve"> </w:t>
      </w:r>
      <w:r>
        <w:t>сферата</w:t>
      </w:r>
      <w:r>
        <w:rPr>
          <w:lang w:val="pl-PL"/>
        </w:rPr>
        <w:t xml:space="preserve"> </w:t>
      </w:r>
      <w:r>
        <w:t>на</w:t>
      </w:r>
      <w:r>
        <w:rPr>
          <w:lang w:val="pl-PL"/>
        </w:rPr>
        <w:t xml:space="preserve"> </w:t>
      </w:r>
      <w:r>
        <w:t>техническите</w:t>
      </w:r>
      <w:r>
        <w:rPr>
          <w:lang w:val="pl-PL"/>
        </w:rPr>
        <w:t xml:space="preserve"> </w:t>
      </w:r>
      <w:r>
        <w:t>регламенти</w:t>
      </w:r>
      <w:r>
        <w:rPr>
          <w:lang w:val="pl-PL"/>
        </w:rPr>
        <w:t xml:space="preserve"> </w:t>
      </w:r>
      <w:r>
        <w:t>и</w:t>
      </w:r>
      <w:r>
        <w:rPr>
          <w:lang w:val="pl-PL"/>
        </w:rPr>
        <w:t xml:space="preserve"> </w:t>
      </w:r>
      <w:r>
        <w:t>правила</w:t>
      </w:r>
      <w:r>
        <w:rPr>
          <w:lang w:val="pl-PL"/>
        </w:rPr>
        <w:t xml:space="preserve"> </w:t>
      </w:r>
      <w:r>
        <w:t>относно</w:t>
      </w:r>
      <w:r>
        <w:rPr>
          <w:lang w:val="pl-PL"/>
        </w:rPr>
        <w:t xml:space="preserve"> </w:t>
      </w:r>
      <w:r>
        <w:t>услугите</w:t>
      </w:r>
      <w:r>
        <w:rPr>
          <w:lang w:val="pl-PL"/>
        </w:rPr>
        <w:t xml:space="preserve"> </w:t>
      </w:r>
      <w:r>
        <w:t>на</w:t>
      </w:r>
      <w:r>
        <w:rPr>
          <w:lang w:val="pl-PL"/>
        </w:rPr>
        <w:t xml:space="preserve"> </w:t>
      </w:r>
      <w:r>
        <w:t>информационното</w:t>
      </w:r>
      <w:r>
        <w:rPr>
          <w:lang w:val="pl-PL"/>
        </w:rPr>
        <w:t xml:space="preserve"> </w:t>
      </w:r>
      <w:r>
        <w:t>общество</w:t>
      </w:r>
      <w:r>
        <w:rPr>
          <w:lang w:val="pl-PL"/>
        </w:rPr>
        <w:t xml:space="preserve"> (</w:t>
      </w:r>
      <w:r>
        <w:t>ОВ</w:t>
      </w:r>
      <w:r>
        <w:rPr>
          <w:lang w:val="pl-PL"/>
        </w:rPr>
        <w:t xml:space="preserve"> L 241, 17.9.2015 </w:t>
      </w:r>
      <w:r>
        <w:t>г</w:t>
      </w:r>
      <w:r>
        <w:rPr>
          <w:lang w:val="pl-PL"/>
        </w:rPr>
        <w:t xml:space="preserve">., </w:t>
      </w:r>
      <w:r>
        <w:t>стр</w:t>
      </w:r>
      <w:r>
        <w:rPr>
          <w:lang w:val="pl-PL"/>
        </w:rPr>
        <w:t>. 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D82550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9641A32"/>
    <w:lvl w:ilvl="0">
      <w:start w:val="1"/>
      <w:numFmt w:val="decimal"/>
      <w:pStyle w:val="ListNumber3"/>
      <w:lvlText w:val="%1."/>
      <w:lvlJc w:val="left"/>
      <w:pPr>
        <w:tabs>
          <w:tab w:val="num" w:pos="926"/>
        </w:tabs>
        <w:ind w:left="926" w:hanging="360"/>
      </w:pPr>
    </w:lvl>
  </w:abstractNum>
  <w:abstractNum w:abstractNumId="2">
    <w:nsid w:val="FFFFFF7F"/>
    <w:multiLevelType w:val="singleLevel"/>
    <w:tmpl w:val="C1429B2A"/>
    <w:lvl w:ilvl="0">
      <w:start w:val="1"/>
      <w:numFmt w:val="decimal"/>
      <w:pStyle w:val="ListNumber2"/>
      <w:lvlText w:val="%1."/>
      <w:lvlJc w:val="left"/>
      <w:pPr>
        <w:tabs>
          <w:tab w:val="num" w:pos="643"/>
        </w:tabs>
        <w:ind w:left="643" w:hanging="360"/>
      </w:pPr>
    </w:lvl>
  </w:abstractNum>
  <w:abstractNum w:abstractNumId="3">
    <w:nsid w:val="FFFFFF81"/>
    <w:multiLevelType w:val="singleLevel"/>
    <w:tmpl w:val="87EA8CF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B8C657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DA4E724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39C3710"/>
    <w:lvl w:ilvl="0">
      <w:start w:val="1"/>
      <w:numFmt w:val="decimal"/>
      <w:pStyle w:val="ListNumber"/>
      <w:lvlText w:val="%1."/>
      <w:lvlJc w:val="left"/>
      <w:pPr>
        <w:tabs>
          <w:tab w:val="num" w:pos="360"/>
        </w:tabs>
        <w:ind w:left="360" w:hanging="360"/>
      </w:pPr>
    </w:lvl>
  </w:abstractNum>
  <w:abstractNum w:abstractNumId="7">
    <w:nsid w:val="FFFFFF89"/>
    <w:multiLevelType w:val="singleLevel"/>
    <w:tmpl w:val="339AF32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rawingGridHorizontalSpacing w:val="57"/>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1-28 13:45:04"/>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4F126317-097B-42BD-B2AB-C03B9B78E807"/>
    <w:docVar w:name="LW_COVERPAGE_TYPE" w:val="1"/>
    <w:docVar w:name="LW_CROSSREFERENCE" w:val="&lt;UNUSED&gt;"/>
    <w:docVar w:name="LW_DocType" w:val="COM"/>
    <w:docVar w:name="LW_EMISSION" w:val="31.1.2019"/>
    <w:docVar w:name="LW_EMISSION_ISODATE" w:val="2019-01-31"/>
    <w:docVar w:name="LW_EMISSION_LOCATION" w:val="BRX"/>
    <w:docVar w:name="LW_EMISSION_PREFIX" w:val="Брюксел, "/>
    <w:docVar w:name="LW_EMISSION_SUFFIX" w:val=" \u1075?."/>
    <w:docVar w:name="LW_ID_DOCMODEL" w:val="SJ-019"/>
    <w:docVar w:name="LW_ID_DOCSIGNATURE" w:val="SJ-019"/>
    <w:docVar w:name="LW_ID_DOCSTRUCTURE" w:val="COM/PL/ORG"/>
    <w:docVar w:name="LW_ID_DOCTYPE" w:val="SJ-019"/>
    <w:docVar w:name="LW_ID_STATUT" w:val="SJ-019"/>
    <w:docVar w:name="LW_INTERETEEE.CP" w:val="(\u1090?\u1077?\u1082?\u1089?\u1090? \u1086?\u1090? \u1079?\u1085?\u1072?\u1095?\u1077?\u1085?\u1080?\u1077? \u1079?\u1072? \u1045?\u1048?\u1055?)"/>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NLE"/>
    <w:docVar w:name="LW_REF.II.NEW.CP_NUMBER" w:val="0021"/>
    <w:docVar w:name="LW_REF.II.NEW.CP_YEAR" w:val="2019"/>
    <w:docVar w:name="LW_REF.INST.NEW" w:val="COM"/>
    <w:docVar w:name="LW_REF.INST.NEW_ADOPTED" w:val="final"/>
    <w:docVar w:name="LW_REF.INST.NEW_TEXT" w:val="(2019) 3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86?\u1090?\u1085?\u1086?\u1089?\u1085?\u1086? \u1087?\u1086?\u1079?\u1080?\u1094?\u1080?\u1103?\u1090?\u1072?, \u1082?\u1086?\u1103?\u1090?\u1086? \u1076?\u1072? \u1073?\u1098?\u1076?\u1077? \u1079?\u1072?\u1077?\u1090?\u1072? \u1086?\u1090? \u1080?\u1084?\u1077?\u1090?\u1086? \u1085?\u1072? \u1045?\u1074?\u1088?\u1086?\u1087?\u1077?\u1081?\u1089?\u1082?\u1080?\u1103? \u1089?\u1098?\u1102?\u1079?_x000b_\u1074? \u1088?\u1072?\u1084?\u1082?\u1080?\u1090?\u1077? \u1085?\u1072? \u1057?\u1098?\u1074?\u1084?\u1077?\u1089?\u1090?\u1085?\u1080?\u1103? \u1082?\u1086?\u1084?\u1080?\u1090?\u1077?\u1090? \u1085?\u1072? \u1045?\u1048?\u1055? \u1074?\u1098?\u1074? \u1074?\u1088?\u1098?\u1079?\u1082?\u1072? \u1089? \u1080?\u1079?\u1084?\u1077?\u1085?\u1077?\u1085?\u1080?\u1077? \u1085?\u1072?_x000b_\u1087?\u1088?\u1080?\u1083?\u1086?\u1078?\u1077?\u1085?\u1080?\u1077? II (\u1058?\u1077?\u1093?\u1085?\u1080?\u1095?\u1077?\u1089?\u1082?\u1080? \u1087?\u1088?\u1072?\u1074?\u1080?\u1083?\u1072?, \u1089?\u1090?\u1072?\u1085?\u1076?\u1072?\u1088?\u1090?\u1080?, \u1080?\u1079?\u1087?\u1080?\u1090?\u1074?\u1072?\u1085?\u1080?\u1103? \u1080? \u1089?\u1077?\u1088?\u1090?\u1080?\u1092?\u1080?\u1094?\u1080?\u1088?\u1072?\u1085?\u1077?) \u1080? \u1087?\u1088?\u1080?\u1083?\u1086?\u1078?\u1077?\u1085?\u1080?\u1077? XI (\u1045?\u1083?\u1077?\u1082?\u1090?\u1088?\u1086?\u1085?\u1085?\u1080? \u1082?\u1086?\u1084?\u1091?\u1085?\u1080?\u1082?\u1072?\u1094?\u1080?\u1080?, \u1072?\u1091?\u1076?\u1080?\u1086?-\u1074?\u1080?\u1079?\u1091?\u1072?\u1083?\u1085?\u1080? \u1091?\u1089?\u1083?\u1091?\u1075?\u1080? \u1080? \u1080?\u1085?\u1092?\u1086?\u1088?\u1084?\u1072?\u1094?\u1080?\u1086?\u1085?\u1085?\u1086? \u1086?\u1073?\u1097?\u1077?\u1089?\u1090?\u1074?\u1086?) \u1082?\u1098?\u1084? \u1057?\u1087?\u1086?\u1088?\u1072?\u1079?\u1091?\u1084?\u1077?\u1085?\u1080?\u1077?\u1090?\u1086? \u1079?\u1072? \u1045?\u1048?\u1055?"/>
    <w:docVar w:name="LW_TYPE.DOC.CP" w:val="\u1056?\u1045?\u1064?\u1045?\u1053?\u1048?\u1045?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before="0"/>
      <w:ind w:left="283"/>
      <w:jc w:val="left"/>
    </w:pPr>
    <w:rPr>
      <w:lang w:val="en-US"/>
    </w:rPr>
  </w:style>
  <w:style w:type="character" w:customStyle="1" w:styleId="BodyTextIndentChar">
    <w:name w:val="Body Text Indent Char"/>
    <w:link w:val="BodyTextIndent"/>
    <w:rPr>
      <w:sz w:val="24"/>
      <w:szCs w:val="24"/>
      <w:lang w:val="en-US" w:eastAsia="en-US"/>
    </w:rPr>
  </w:style>
  <w:style w:type="paragraph" w:styleId="BodyText2">
    <w:name w:val="Body Text 2"/>
    <w:basedOn w:val="Normal"/>
    <w:link w:val="BodyText2Char"/>
    <w:pPr>
      <w:spacing w:line="480" w:lineRule="auto"/>
    </w:pPr>
  </w:style>
  <w:style w:type="character" w:customStyle="1" w:styleId="BodyText2Char">
    <w:name w:val="Body Text 2 Char"/>
    <w:link w:val="BodyText2"/>
    <w:rPr>
      <w:sz w:val="24"/>
      <w:szCs w:val="24"/>
      <w:lang w:eastAsia="en-US"/>
    </w:rPr>
  </w:style>
  <w:style w:type="paragraph" w:customStyle="1" w:styleId="Default">
    <w:name w:val="Default"/>
    <w:pPr>
      <w:autoSpaceDE w:val="0"/>
      <w:autoSpaceDN w:val="0"/>
      <w:adjustRightInd w:val="0"/>
    </w:pPr>
    <w:rPr>
      <w:color w:val="000000"/>
      <w:sz w:val="24"/>
      <w:szCs w:val="24"/>
    </w:rPr>
  </w:style>
  <w:style w:type="paragraph" w:styleId="ListBullet">
    <w:name w:val="List Bullet"/>
    <w:basedOn w:val="Normal"/>
    <w:pPr>
      <w:numPr>
        <w:numId w:val="1"/>
      </w:numPr>
      <w:contextualSpacing/>
    </w:pPr>
  </w:style>
  <w:style w:type="paragraph" w:styleId="ListBullet2">
    <w:name w:val="List Bullet 2"/>
    <w:basedOn w:val="Normal"/>
    <w:pPr>
      <w:numPr>
        <w:numId w:val="2"/>
      </w:numPr>
      <w:contextualSpacing/>
    </w:pPr>
  </w:style>
  <w:style w:type="paragraph" w:styleId="ListBullet3">
    <w:name w:val="List Bullet 3"/>
    <w:basedOn w:val="Normal"/>
    <w:pPr>
      <w:numPr>
        <w:numId w:val="3"/>
      </w:numPr>
      <w:contextualSpacing/>
    </w:pPr>
  </w:style>
  <w:style w:type="paragraph" w:styleId="ListBullet4">
    <w:name w:val="List Bullet 4"/>
    <w:basedOn w:val="Normal"/>
    <w:pPr>
      <w:numPr>
        <w:numId w:val="4"/>
      </w:numPr>
      <w:contextualSpacing/>
    </w:pPr>
  </w:style>
  <w:style w:type="paragraph" w:styleId="Caption">
    <w:name w:val="caption"/>
    <w:basedOn w:val="Normal"/>
    <w:next w:val="Normal"/>
    <w:semiHidden/>
    <w:unhideWhenUsed/>
    <w:qFormat/>
    <w:rPr>
      <w:b/>
      <w:bCs/>
      <w:sz w:val="20"/>
    </w:rPr>
  </w:style>
  <w:style w:type="paragraph" w:styleId="TableofFigures">
    <w:name w:val="table of figures"/>
    <w:basedOn w:val="Normal"/>
    <w:next w:val="Normal"/>
  </w:style>
  <w:style w:type="paragraph" w:styleId="ListNumber">
    <w:name w:val="List Number"/>
    <w:basedOn w:val="Normal"/>
    <w:pPr>
      <w:numPr>
        <w:numId w:val="6"/>
      </w:numPr>
      <w:contextualSpacing/>
    </w:pPr>
  </w:style>
  <w:style w:type="paragraph" w:styleId="ListNumber2">
    <w:name w:val="List Number 2"/>
    <w:basedOn w:val="Normal"/>
    <w:pPr>
      <w:numPr>
        <w:numId w:val="7"/>
      </w:numPr>
      <w:contextualSpacing/>
    </w:pPr>
  </w:style>
  <w:style w:type="paragraph" w:styleId="ListNumber3">
    <w:name w:val="List Number 3"/>
    <w:basedOn w:val="Normal"/>
    <w:pPr>
      <w:numPr>
        <w:numId w:val="8"/>
      </w:numPr>
      <w:contextualSpacing/>
    </w:pPr>
  </w:style>
  <w:style w:type="paragraph" w:styleId="ListNumber4">
    <w:name w:val="List Number 4"/>
    <w:basedOn w:val="Normal"/>
    <w:pPr>
      <w:numPr>
        <w:numId w:val="9"/>
      </w:numPr>
      <w:contextualSpacing/>
    </w:p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character" w:styleId="Hyperlink">
    <w:name w:val="Hyperlink"/>
    <w:rPr>
      <w:color w:val="0000FF"/>
      <w:u w:val="single"/>
    </w:rPr>
  </w:style>
  <w:style w:type="paragraph" w:styleId="BalloonText">
    <w:name w:val="Balloon Text"/>
    <w:basedOn w:val="Normal"/>
    <w:link w:val="BalloonTextChar"/>
    <w:pPr>
      <w:spacing w:before="0" w:after="0"/>
    </w:pP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customStyle="1" w:styleId="BulletBorderNoborder">
    <w:name w:val="Bullet  + Border: : (No border)"/>
    <w:basedOn w:val="Bullet2"/>
    <w:rPr>
      <w:rFonts w:eastAsia="Arial Unicode MS"/>
      <w:u w:color="000000"/>
      <w:bdr w:val="nil"/>
      <w:lang w:val="en-US"/>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before="0"/>
      <w:ind w:left="283"/>
      <w:jc w:val="left"/>
    </w:pPr>
    <w:rPr>
      <w:lang w:val="en-US"/>
    </w:rPr>
  </w:style>
  <w:style w:type="character" w:customStyle="1" w:styleId="BodyTextIndentChar">
    <w:name w:val="Body Text Indent Char"/>
    <w:link w:val="BodyTextIndent"/>
    <w:rPr>
      <w:sz w:val="24"/>
      <w:szCs w:val="24"/>
      <w:lang w:val="en-US" w:eastAsia="en-US"/>
    </w:rPr>
  </w:style>
  <w:style w:type="paragraph" w:styleId="BodyText2">
    <w:name w:val="Body Text 2"/>
    <w:basedOn w:val="Normal"/>
    <w:link w:val="BodyText2Char"/>
    <w:pPr>
      <w:spacing w:line="480" w:lineRule="auto"/>
    </w:pPr>
  </w:style>
  <w:style w:type="character" w:customStyle="1" w:styleId="BodyText2Char">
    <w:name w:val="Body Text 2 Char"/>
    <w:link w:val="BodyText2"/>
    <w:rPr>
      <w:sz w:val="24"/>
      <w:szCs w:val="24"/>
      <w:lang w:eastAsia="en-US"/>
    </w:rPr>
  </w:style>
  <w:style w:type="paragraph" w:customStyle="1" w:styleId="Default">
    <w:name w:val="Default"/>
    <w:pPr>
      <w:autoSpaceDE w:val="0"/>
      <w:autoSpaceDN w:val="0"/>
      <w:adjustRightInd w:val="0"/>
    </w:pPr>
    <w:rPr>
      <w:color w:val="000000"/>
      <w:sz w:val="24"/>
      <w:szCs w:val="24"/>
    </w:rPr>
  </w:style>
  <w:style w:type="paragraph" w:styleId="ListBullet">
    <w:name w:val="List Bullet"/>
    <w:basedOn w:val="Normal"/>
    <w:pPr>
      <w:numPr>
        <w:numId w:val="1"/>
      </w:numPr>
      <w:contextualSpacing/>
    </w:pPr>
  </w:style>
  <w:style w:type="paragraph" w:styleId="ListBullet2">
    <w:name w:val="List Bullet 2"/>
    <w:basedOn w:val="Normal"/>
    <w:pPr>
      <w:numPr>
        <w:numId w:val="2"/>
      </w:numPr>
      <w:contextualSpacing/>
    </w:pPr>
  </w:style>
  <w:style w:type="paragraph" w:styleId="ListBullet3">
    <w:name w:val="List Bullet 3"/>
    <w:basedOn w:val="Normal"/>
    <w:pPr>
      <w:numPr>
        <w:numId w:val="3"/>
      </w:numPr>
      <w:contextualSpacing/>
    </w:pPr>
  </w:style>
  <w:style w:type="paragraph" w:styleId="ListBullet4">
    <w:name w:val="List Bullet 4"/>
    <w:basedOn w:val="Normal"/>
    <w:pPr>
      <w:numPr>
        <w:numId w:val="4"/>
      </w:numPr>
      <w:contextualSpacing/>
    </w:pPr>
  </w:style>
  <w:style w:type="paragraph" w:styleId="Caption">
    <w:name w:val="caption"/>
    <w:basedOn w:val="Normal"/>
    <w:next w:val="Normal"/>
    <w:semiHidden/>
    <w:unhideWhenUsed/>
    <w:qFormat/>
    <w:rPr>
      <w:b/>
      <w:bCs/>
      <w:sz w:val="20"/>
    </w:rPr>
  </w:style>
  <w:style w:type="paragraph" w:styleId="TableofFigures">
    <w:name w:val="table of figures"/>
    <w:basedOn w:val="Normal"/>
    <w:next w:val="Normal"/>
  </w:style>
  <w:style w:type="paragraph" w:styleId="ListNumber">
    <w:name w:val="List Number"/>
    <w:basedOn w:val="Normal"/>
    <w:pPr>
      <w:numPr>
        <w:numId w:val="6"/>
      </w:numPr>
      <w:contextualSpacing/>
    </w:pPr>
  </w:style>
  <w:style w:type="paragraph" w:styleId="ListNumber2">
    <w:name w:val="List Number 2"/>
    <w:basedOn w:val="Normal"/>
    <w:pPr>
      <w:numPr>
        <w:numId w:val="7"/>
      </w:numPr>
      <w:contextualSpacing/>
    </w:pPr>
  </w:style>
  <w:style w:type="paragraph" w:styleId="ListNumber3">
    <w:name w:val="List Number 3"/>
    <w:basedOn w:val="Normal"/>
    <w:pPr>
      <w:numPr>
        <w:numId w:val="8"/>
      </w:numPr>
      <w:contextualSpacing/>
    </w:pPr>
  </w:style>
  <w:style w:type="paragraph" w:styleId="ListNumber4">
    <w:name w:val="List Number 4"/>
    <w:basedOn w:val="Normal"/>
    <w:pPr>
      <w:numPr>
        <w:numId w:val="9"/>
      </w:numPr>
      <w:contextualSpacing/>
    </w:p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character" w:styleId="Hyperlink">
    <w:name w:val="Hyperlink"/>
    <w:rPr>
      <w:color w:val="0000FF"/>
      <w:u w:val="single"/>
    </w:rPr>
  </w:style>
  <w:style w:type="paragraph" w:styleId="BalloonText">
    <w:name w:val="Balloon Text"/>
    <w:basedOn w:val="Normal"/>
    <w:link w:val="BalloonTextChar"/>
    <w:pPr>
      <w:spacing w:before="0" w:after="0"/>
    </w:pP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customStyle="1" w:styleId="BulletBorderNoborder">
    <w:name w:val="Bullet  + Border: : (No border)"/>
    <w:basedOn w:val="Bullet2"/>
    <w:rPr>
      <w:rFonts w:eastAsia="Arial Unicode MS"/>
      <w:u w:color="000000"/>
      <w:bdr w:val="nil"/>
      <w:lang w:val="en-US"/>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780827">
      <w:bodyDiv w:val="1"/>
      <w:marLeft w:val="0"/>
      <w:marRight w:val="0"/>
      <w:marTop w:val="0"/>
      <w:marBottom w:val="0"/>
      <w:divBdr>
        <w:top w:val="none" w:sz="0" w:space="0" w:color="auto"/>
        <w:left w:val="none" w:sz="0" w:space="0" w:color="auto"/>
        <w:bottom w:val="none" w:sz="0" w:space="0" w:color="auto"/>
        <w:right w:val="none" w:sz="0" w:space="0" w:color="auto"/>
      </w:divBdr>
      <w:divsChild>
        <w:div w:id="19940859">
          <w:marLeft w:val="0"/>
          <w:marRight w:val="0"/>
          <w:marTop w:val="0"/>
          <w:marBottom w:val="0"/>
          <w:divBdr>
            <w:top w:val="none" w:sz="0" w:space="0" w:color="auto"/>
            <w:left w:val="none" w:sz="0" w:space="0" w:color="auto"/>
            <w:bottom w:val="none" w:sz="0" w:space="0" w:color="auto"/>
            <w:right w:val="none" w:sz="0" w:space="0" w:color="auto"/>
          </w:divBdr>
          <w:divsChild>
            <w:div w:id="307515087">
              <w:marLeft w:val="2"/>
              <w:marRight w:val="2"/>
              <w:marTop w:val="0"/>
              <w:marBottom w:val="0"/>
              <w:divBdr>
                <w:top w:val="none" w:sz="0" w:space="0" w:color="auto"/>
                <w:left w:val="none" w:sz="0" w:space="0" w:color="auto"/>
                <w:bottom w:val="none" w:sz="0" w:space="0" w:color="auto"/>
                <w:right w:val="none" w:sz="0" w:space="0" w:color="auto"/>
              </w:divBdr>
              <w:divsChild>
                <w:div w:id="1828667934">
                  <w:marLeft w:val="0"/>
                  <w:marRight w:val="0"/>
                  <w:marTop w:val="0"/>
                  <w:marBottom w:val="0"/>
                  <w:divBdr>
                    <w:top w:val="none" w:sz="0" w:space="0" w:color="auto"/>
                    <w:left w:val="none" w:sz="0" w:space="0" w:color="auto"/>
                    <w:bottom w:val="none" w:sz="0" w:space="0" w:color="auto"/>
                    <w:right w:val="none" w:sz="0" w:space="0" w:color="auto"/>
                  </w:divBdr>
                  <w:divsChild>
                    <w:div w:id="932975110">
                      <w:marLeft w:val="0"/>
                      <w:marRight w:val="0"/>
                      <w:marTop w:val="0"/>
                      <w:marBottom w:val="0"/>
                      <w:divBdr>
                        <w:top w:val="none" w:sz="0" w:space="0" w:color="auto"/>
                        <w:left w:val="none" w:sz="0" w:space="0" w:color="auto"/>
                        <w:bottom w:val="none" w:sz="0" w:space="0" w:color="auto"/>
                        <w:right w:val="none" w:sz="0" w:space="0" w:color="auto"/>
                      </w:divBdr>
                      <w:divsChild>
                        <w:div w:id="1861619885">
                          <w:marLeft w:val="0"/>
                          <w:marRight w:val="0"/>
                          <w:marTop w:val="0"/>
                          <w:marBottom w:val="0"/>
                          <w:divBdr>
                            <w:top w:val="none" w:sz="0" w:space="0" w:color="auto"/>
                            <w:left w:val="none" w:sz="0" w:space="0" w:color="auto"/>
                            <w:bottom w:val="none" w:sz="0" w:space="0" w:color="auto"/>
                            <w:right w:val="none" w:sz="0" w:space="0" w:color="auto"/>
                          </w:divBdr>
                          <w:divsChild>
                            <w:div w:id="2047023996">
                              <w:marLeft w:val="0"/>
                              <w:marRight w:val="0"/>
                              <w:marTop w:val="0"/>
                              <w:marBottom w:val="0"/>
                              <w:divBdr>
                                <w:top w:val="none" w:sz="0" w:space="0" w:color="auto"/>
                                <w:left w:val="none" w:sz="0" w:space="0" w:color="auto"/>
                                <w:bottom w:val="none" w:sz="0" w:space="0" w:color="auto"/>
                                <w:right w:val="none" w:sz="0" w:space="0" w:color="auto"/>
                              </w:divBdr>
                              <w:divsChild>
                                <w:div w:id="1368599428">
                                  <w:marLeft w:val="0"/>
                                  <w:marRight w:val="0"/>
                                  <w:marTop w:val="0"/>
                                  <w:marBottom w:val="0"/>
                                  <w:divBdr>
                                    <w:top w:val="none" w:sz="0" w:space="0" w:color="auto"/>
                                    <w:left w:val="none" w:sz="0" w:space="0" w:color="auto"/>
                                    <w:bottom w:val="none" w:sz="0" w:space="0" w:color="auto"/>
                                    <w:right w:val="none" w:sz="0" w:space="0" w:color="auto"/>
                                  </w:divBdr>
                                  <w:divsChild>
                                    <w:div w:id="1736586996">
                                      <w:marLeft w:val="0"/>
                                      <w:marRight w:val="0"/>
                                      <w:marTop w:val="0"/>
                                      <w:marBottom w:val="0"/>
                                      <w:divBdr>
                                        <w:top w:val="none" w:sz="0" w:space="0" w:color="auto"/>
                                        <w:left w:val="none" w:sz="0" w:space="0" w:color="auto"/>
                                        <w:bottom w:val="none" w:sz="0" w:space="0" w:color="auto"/>
                                        <w:right w:val="none" w:sz="0" w:space="0" w:color="auto"/>
                                      </w:divBdr>
                                      <w:divsChild>
                                        <w:div w:id="1481725310">
                                          <w:marLeft w:val="0"/>
                                          <w:marRight w:val="0"/>
                                          <w:marTop w:val="0"/>
                                          <w:marBottom w:val="0"/>
                                          <w:divBdr>
                                            <w:top w:val="none" w:sz="0" w:space="0" w:color="auto"/>
                                            <w:left w:val="none" w:sz="0" w:space="0" w:color="auto"/>
                                            <w:bottom w:val="none" w:sz="0" w:space="0" w:color="auto"/>
                                            <w:right w:val="none" w:sz="0" w:space="0" w:color="auto"/>
                                          </w:divBdr>
                                          <w:divsChild>
                                            <w:div w:id="1711151638">
                                              <w:marLeft w:val="0"/>
                                              <w:marRight w:val="0"/>
                                              <w:marTop w:val="0"/>
                                              <w:marBottom w:val="0"/>
                                              <w:divBdr>
                                                <w:top w:val="none" w:sz="0" w:space="0" w:color="auto"/>
                                                <w:left w:val="none" w:sz="0" w:space="0" w:color="auto"/>
                                                <w:bottom w:val="none" w:sz="0" w:space="0" w:color="auto"/>
                                                <w:right w:val="none" w:sz="0" w:space="0" w:color="auto"/>
                                              </w:divBdr>
                                              <w:divsChild>
                                                <w:div w:id="80519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B1A45-F247-40C6-AD7A-D57582CB9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6</TotalTime>
  <Pages>6</Pages>
  <Words>1170</Words>
  <Characters>6684</Characters>
  <Application>Microsoft Office Word</Application>
  <DocSecurity>0</DocSecurity>
  <Lines>148</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WES PDFC Administrator</cp:lastModifiedBy>
  <cp:revision>18</cp:revision>
  <cp:lastPrinted>2019-01-10T17:27:00Z</cp:lastPrinted>
  <dcterms:created xsi:type="dcterms:W3CDTF">2019-01-16T09:49:00Z</dcterms:created>
  <dcterms:modified xsi:type="dcterms:W3CDTF">2019-01-28T12:45:00Z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5.8.64.0</vt:lpwstr>
  </property>
  <property fmtid="{D5CDD505-2E9C-101B-9397-08002B2CF9AE}" pid="4" name="Last edited using">
    <vt:lpwstr>LW 6.0.1, Build 20180503</vt:lpwstr>
  </property>
  <property fmtid="{D5CDD505-2E9C-101B-9397-08002B2CF9AE}" pid="5" name="Created using">
    <vt:lpwstr>LW 5.8.2, Build 20120919</vt:lpwstr>
  </property>
  <property fmtid="{D5CDD505-2E9C-101B-9397-08002B2CF9AE}" pid="6" name="LWTemplateID">
    <vt:lpwstr>SJ-019</vt:lpwstr>
  </property>
  <property fmtid="{D5CDD505-2E9C-101B-9397-08002B2CF9AE}" pid="7" name="Part">
    <vt:lpwstr>1</vt:lpwstr>
  </property>
  <property fmtid="{D5CDD505-2E9C-101B-9397-08002B2CF9AE}" pid="8" name="Total parts">
    <vt:lpwstr>1</vt:lpwstr>
  </property>
  <property fmtid="{D5CDD505-2E9C-101B-9397-08002B2CF9AE}" pid="9" name="Level of sensitivity">
    <vt:lpwstr>Standard treatment</vt:lpwstr>
  </property>
  <property fmtid="{D5CDD505-2E9C-101B-9397-08002B2CF9AE}" pid="10" name="DQCStatus">
    <vt:lpwstr>Green (DQC version 03)</vt:lpwstr>
  </property>
</Properties>
</file>