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06ECAFE-2B0E-4467-88CC-5F51245367FA" style="width:450.75pt;height:464.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ind w:left="720"/>
        <w:rPr>
          <w:noProof/>
        </w:rPr>
      </w:pPr>
      <w:r>
        <w:rPr>
          <w:noProof/>
        </w:rPr>
        <w:t>С проекта на решение на Съвместния комитет на ЕИП (приложен към предложението за решение на Съвета) се цели да се измени приложение IX (Финансови услуги) към Споразумението за ЕИП, за да се включат Регламентът за пазарите на финансови инструменти (РПФИ) и Директивата за пазарите на финансови инструменти (ДПФИ II)</w:t>
      </w:r>
      <w:r>
        <w:rPr>
          <w:rStyle w:val="FootnoteReference"/>
          <w:noProof/>
        </w:rPr>
        <w:footnoteReference w:id="1"/>
      </w:r>
      <w:r>
        <w:rPr>
          <w:noProof/>
        </w:rPr>
        <w:t xml:space="preserve"> в Споразумението за ЕИП. </w:t>
      </w:r>
    </w:p>
    <w:p>
      <w:pPr>
        <w:pStyle w:val="Text1"/>
        <w:ind w:left="720"/>
        <w:rPr>
          <w:noProof/>
        </w:rPr>
      </w:pPr>
      <w:r>
        <w:rPr>
          <w:noProof/>
        </w:rPr>
        <w:t>Адаптациите, които фигурират в приложените проекти на решения на Съвместния комитет на ЕИП, надхвърлят това, което може да се счита за чисто технически адаптации по смисъла на Регламент № 2894/94 на Съвета. Поради това позицията на Съюза ще бъде определена от Съвета.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Style w:val="Text1"/>
        <w:ind w:left="720"/>
        <w:rPr>
          <w:rFonts w:eastAsia="Arial Unicode MS"/>
          <w:noProof/>
        </w:rPr>
      </w:pPr>
      <w:r>
        <w:rPr>
          <w:noProof/>
        </w:rPr>
        <w:t>Приложеният проект на решение на Съвместния комитет на ЕИП разширява вече съществуващата политика на ЕС, за да включи в нея членуващите в ЕИП държави от ЕАСТ (Норвегия, Исландия и Лихтенщайн).</w:t>
      </w:r>
      <w:r>
        <w:t xml:space="preserve">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Style w:val="Text1"/>
        <w:ind w:left="720"/>
        <w:rPr>
          <w:rFonts w:eastAsia="Arial Unicode MS"/>
          <w:noProof/>
        </w:rPr>
      </w:pPr>
      <w:r>
        <w:rPr>
          <w:noProof/>
        </w:rPr>
        <w:t xml:space="preserve">Разширяването на прилагането на достиженията на правото на ЕС за членуващите в ЕИП държави от ЕАСТ чрез включването на тези достижения в Споразумението за ЕИП се извършва в съответствие с целите и принципите на това споразумение с цел създаване на динамично и хомогенно европейско икономическо пространство, основано на общи правила и еднакви условия на конкуренция. </w:t>
      </w:r>
    </w:p>
    <w:p>
      <w:pPr>
        <w:pStyle w:val="ManualHeading1"/>
        <w:rPr>
          <w:noProof/>
        </w:rPr>
      </w:pPr>
      <w:r>
        <w:rPr>
          <w:noProof/>
        </w:rPr>
        <w:t>2.</w:t>
      </w:r>
      <w:r>
        <w:rPr>
          <w:noProof/>
        </w:rPr>
        <w:tab/>
        <w:t>ПРАВНО ОСНОВАНИЕ, СУБИСИДИАРНОСТ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Text1"/>
        <w:rPr>
          <w:noProof/>
        </w:rPr>
      </w:pPr>
      <w:r>
        <w:rPr>
          <w:noProof/>
        </w:rPr>
        <w:t>Законодателството, което следва да бъде включено в Споразумението за ЕИП, се основава на член 114 от Договора за функционирането на Европейския съюз.</w:t>
      </w:r>
    </w:p>
    <w:p>
      <w:pPr>
        <w:pStyle w:val="Text1"/>
        <w:rPr>
          <w:noProof/>
        </w:rPr>
      </w:pPr>
      <w:r>
        <w:rPr>
          <w:noProof/>
        </w:rPr>
        <w:t>Съгласно член 1, параграф 3 от Регламент (ЕО) № 2894/94 на Съвета</w:t>
      </w:r>
      <w:r>
        <w:rPr>
          <w:rStyle w:val="FootnoteReference"/>
          <w:noProof/>
        </w:rPr>
        <w:footnoteReference w:id="2"/>
      </w:r>
      <w:r>
        <w:rPr>
          <w:noProof/>
        </w:rPr>
        <w:t xml:space="preserve"> относно условията за прилагане на Споразумението за ЕИП Съветът определя въз основа на предложение на Комисията позицията, която трябва да се заеме от името на Съюза по отношение на подобни решения. </w:t>
      </w:r>
    </w:p>
    <w:p>
      <w:pPr>
        <w:pStyle w:val="Text1"/>
        <w:rPr>
          <w:noProof/>
        </w:rPr>
      </w:pPr>
      <w:r>
        <w:rPr>
          <w:noProof/>
        </w:rPr>
        <w:t xml:space="preserve">ЕСВД и службите на Комисията представят проектите на решения на Съвместния комитет на ЕИП пред Съвета, който следва да ги приеме като </w:t>
      </w:r>
      <w:r>
        <w:rPr>
          <w:noProof/>
        </w:rPr>
        <w:lastRenderedPageBreak/>
        <w:t>позиция на Съюза. ЕСВД се надява да има възможност да ги представи пред Съвместния комитет на ЕИП възможно най-скоро.</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Style w:val="Text1"/>
        <w:rPr>
          <w:noProof/>
        </w:rPr>
      </w:pPr>
      <w:r>
        <w:rPr>
          <w:noProof/>
        </w:rPr>
        <w:t xml:space="preserve">Предложението е в съответствие с принципа на субсидиарност по следната причина. </w:t>
      </w:r>
    </w:p>
    <w:p>
      <w:pPr>
        <w:pStyle w:val="Text1"/>
        <w:rPr>
          <w:noProof/>
        </w:rPr>
      </w:pPr>
      <w:r>
        <w:rPr>
          <w:noProof/>
        </w:rPr>
        <w:t xml:space="preserve">Целта на настоящото предложение, а именно да се осигури хомогенността на вътрешния пазар, не може да бъде постигната в достатъчна степен от държавите членки, вследствие на което може, с оглед на последиците, да бъде постигната по-добре на равнището на Съюза. </w:t>
      </w:r>
    </w:p>
    <w:p>
      <w:pPr>
        <w:pStyle w:val="Text1"/>
        <w:rPr>
          <w:noProof/>
        </w:rPr>
      </w:pPr>
      <w:r>
        <w:rPr>
          <w:noProof/>
        </w:rPr>
        <w:t xml:space="preserve">Процесът на включване на достиженията на правото на ЕС в Споразумението за ЕИП се извършва в съответствие с Регламент (ЕО) № 2894/94 на Съвета от 28 ноември 1994 г. относно условията за прилагане на Споразумението за Европейското икономическо пространство, който потвърждава възприетия подход. </w:t>
      </w:r>
    </w:p>
    <w:p>
      <w:pPr>
        <w:pStyle w:val="ManualHeading2"/>
        <w:rPr>
          <w:rFonts w:eastAsia="Arial Unicode MS"/>
          <w:noProof/>
          <w:u w:color="000000"/>
          <w:bdr w:val="nil"/>
        </w:rPr>
      </w:pPr>
      <w:r>
        <w:rPr>
          <w:noProof/>
        </w:rPr>
        <w:t>•</w:t>
      </w:r>
      <w:r>
        <w:rPr>
          <w:noProof/>
        </w:rPr>
        <w:tab/>
        <w:t>Пропорционалност</w:t>
      </w:r>
    </w:p>
    <w:p>
      <w:pPr>
        <w:pStyle w:val="Text1"/>
        <w:rPr>
          <w:noProof/>
        </w:rPr>
      </w:pPr>
      <w:r>
        <w:rPr>
          <w:noProof/>
        </w:rPr>
        <w:t>В съответствие с принципа на пропорционалност настоящото предложение не надхвърля необходимото за постигането на своята цел.</w:t>
      </w:r>
    </w:p>
    <w:p>
      <w:pPr>
        <w:pStyle w:val="ManualHeading2"/>
        <w:rPr>
          <w:rFonts w:eastAsia="Arial Unicode MS"/>
          <w:noProof/>
          <w:u w:color="000000"/>
          <w:bdr w:val="nil"/>
        </w:rPr>
      </w:pPr>
      <w:r>
        <w:rPr>
          <w:noProof/>
        </w:rPr>
        <w:t>•</w:t>
      </w:r>
      <w:r>
        <w:rPr>
          <w:noProof/>
        </w:rPr>
        <w:tab/>
        <w:t>Избор на инструмент</w:t>
      </w:r>
    </w:p>
    <w:p>
      <w:pPr>
        <w:pStyle w:val="Text1"/>
        <w:rPr>
          <w:noProof/>
        </w:rPr>
      </w:pPr>
      <w:r>
        <w:rPr>
          <w:noProof/>
        </w:rPr>
        <w:t xml:space="preserve">В съответствие с член 98 от Споразумението за ЕИП избраният инструмент е решение на Съвместния комитет на ЕИП. Съвместният комитет на ЕИП осигурява ефективното изпълнение и функциониране на Споразумението за ЕИП. За тази цел той взема решения в случаите, предвидени в това споразумение.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rPr>
      </w:pPr>
      <w:r>
        <w:rPr>
          <w:noProof/>
        </w:rPr>
        <w:tab/>
      </w:r>
      <w:r>
        <w:rPr>
          <w:b w:val="0"/>
          <w:noProof/>
        </w:rPr>
        <w:t xml:space="preserve">Не е приложимо. </w:t>
      </w:r>
    </w:p>
    <w:p>
      <w:pPr>
        <w:pStyle w:val="ManualHeading1"/>
        <w:rPr>
          <w:noProof/>
        </w:rPr>
      </w:pPr>
      <w:r>
        <w:rPr>
          <w:noProof/>
        </w:rPr>
        <w:t>4.</w:t>
      </w:r>
      <w:r>
        <w:rPr>
          <w:noProof/>
        </w:rPr>
        <w:tab/>
        <w:t>ОТРАЖЕНИЕ ВЪРХУ БЮДЖЕТА</w:t>
      </w:r>
    </w:p>
    <w:p>
      <w:pPr>
        <w:pStyle w:val="Text1"/>
        <w:rPr>
          <w:noProof/>
        </w:rPr>
      </w:pPr>
      <w:r>
        <w:rPr>
          <w:noProof/>
        </w:rPr>
        <w:t>Не се очаква отражение върху бюджета в резултат от включването на горепосочения регламент в Споразумението за ЕИП.</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i/>
          <w:noProof/>
          <w:u w:val="single"/>
        </w:rPr>
      </w:pPr>
      <w:r>
        <w:rPr>
          <w:i/>
          <w:noProof/>
          <w:u w:val="single"/>
        </w:rPr>
        <w:t>Членове 11—13, член 41, параграф 2 — Пруденциална оценка на чуждестранните кандидат-приобретатели (Съвместна декларация към Решението на Съвместния комитет) и най-облагодетелствано третиране за дружествата от ЕИП (адаптация е) във връзка с Директива 2014/65/ЕС)</w:t>
      </w:r>
    </w:p>
    <w:p>
      <w:pPr>
        <w:rPr>
          <w:noProof/>
        </w:rPr>
      </w:pPr>
      <w:r>
        <w:rPr>
          <w:noProof/>
        </w:rPr>
        <w:t>По принцип Споразумението за ЕИП няма за цел да регламентира отношенията на договарящите се страни с трети държави (вж. по-специално съображение 16 от преамбюла към Споразумението за ЕИП). Споразумението за ЕИП не предвижда либерализирането на капиталовите потоци, нито дава права по отношение на свободата на установяване или участието в акционерния капитал на дружествата, що се отнася до чуждестранните лица (вж. членове 31, 34, 40 и 124 от Споразумението за ЕИП).</w:t>
      </w:r>
    </w:p>
    <w:p>
      <w:pPr>
        <w:rPr>
          <w:noProof/>
        </w:rPr>
      </w:pPr>
      <w:r>
        <w:rPr>
          <w:noProof/>
        </w:rPr>
        <w:lastRenderedPageBreak/>
        <w:t>Вследствие на това в Съвместната декларация към Решението на Съвместния комитет се заявява, че договарящите се страни споделят разбирането, че с включването на Директива 2014/65/ЕС в Споразумението за ЕИП не се засягат националните правила с общо приложение относно скрининга за сигурността или обществения ред на преките чуждестранни инвестиции.</w:t>
      </w:r>
    </w:p>
    <w:p>
      <w:pPr>
        <w:rPr>
          <w:i/>
          <w:noProof/>
        </w:rPr>
      </w:pPr>
      <w:r>
        <w:rPr>
          <w:noProof/>
        </w:rPr>
        <w:t>Освен това в адаптация е) се пояснява, че дружествата не могат да бъдат третирани по-благоприятно, отколкото дружествата от ЕИП, когато са получили разрешение от компетентните национални или секторни органи по въпросите на ЕИП (КНО).</w:t>
      </w:r>
      <w:r>
        <w:rPr>
          <w:i/>
          <w:noProof/>
          <w:u w:val="single"/>
        </w:rPr>
        <w:t>Освобождаване от изискванията, свързани с дялови инструменти (адаптация ж) във връзка с Регламент (ЕС) № 600/2014)</w:t>
      </w:r>
    </w:p>
    <w:p>
      <w:pPr>
        <w:rPr>
          <w:noProof/>
        </w:rPr>
      </w:pPr>
      <w:r>
        <w:rPr>
          <w:noProof/>
        </w:rPr>
        <w:t>В член 4, параграф 4 от РПФИ се предвижда Европейският орган за ценни книжа и пазари (ЕОЦКП) да следи за прилагането на освобождаванията, предоставени от КНО, и да представя годишен доклад на Комисията. Тъй като ЕОЦКП ще бъде компетентен и за проследяването на прилагането на освобождаванията в членуващите в ЕИП държави от ЕАСТ, в адаптация ж), подточка i) се предвижда ЕОЦКП да представя своя годишен доклад и на Надзорния орган на ЕАСТ, за да може той да изпълнява своите надзорни функции съгласно член 109 от Споразумението за ЕИП.</w:t>
      </w:r>
    </w:p>
    <w:p>
      <w:pPr>
        <w:pBdr>
          <w:top w:val="nil"/>
          <w:left w:val="nil"/>
          <w:bottom w:val="nil"/>
          <w:right w:val="nil"/>
          <w:between w:val="nil"/>
          <w:bar w:val="nil"/>
        </w:pBdr>
        <w:spacing w:before="0" w:after="240"/>
        <w:rPr>
          <w:noProof/>
        </w:rPr>
      </w:pPr>
      <w:r>
        <w:rPr>
          <w:noProof/>
        </w:rPr>
        <w:t>Освен това крайният срок за освобождаванията, които са предоставени от КНО по отношение на членуващите в ЕИП държави от ЕАСТ в съответствие със законодателството в сила преди РПФИ и които следва да се преразгледат от ЕОЦКП преди 3 януари 2019 г. в съответствие с член 4, параграф 7 от РПФИ, се коригира с адаптация ж), подточка ii), за да се отрази влизането в сила на РПФИ в контекста на ЕИП.</w:t>
      </w:r>
    </w:p>
    <w:p>
      <w:pPr>
        <w:rPr>
          <w:i/>
          <w:noProof/>
          <w:u w:val="single"/>
        </w:rPr>
      </w:pPr>
      <w:r>
        <w:rPr>
          <w:i/>
          <w:noProof/>
          <w:u w:val="single"/>
        </w:rPr>
        <w:t>Уведомления за необвързване от страна на местата на търговия (адаптация и) във връзка с Регламент (ЕС) № 600/2014)</w:t>
      </w:r>
    </w:p>
    <w:p>
      <w:pPr>
        <w:rPr>
          <w:noProof/>
        </w:rPr>
      </w:pPr>
      <w:r>
        <w:rPr>
          <w:noProof/>
        </w:rPr>
        <w:t>Съгласно член 36, параграф 5 от РПФИ мястото на търговия уведомява ЕОЦКП и неговия НКО, ако не желае да се обвързва с член 36 по отношение на борсово търгуваните деривати.</w:t>
      </w:r>
    </w:p>
    <w:p>
      <w:pPr>
        <w:rPr>
          <w:noProof/>
        </w:rPr>
      </w:pPr>
      <w:r>
        <w:rPr>
          <w:noProof/>
        </w:rPr>
        <w:t>Що се отнася до местата на търговия в членуващите в ЕИП държави от ЕАСТ, Надзорният орган на ЕАСТ е компетентният надзорен орган и получава техните уведомления. Следователно за тази цел с адаптация и), подточка i) се коригира текстът на член 36, параграф 5 от РПФИ.</w:t>
      </w:r>
    </w:p>
    <w:p>
      <w:pPr>
        <w:pBdr>
          <w:top w:val="nil"/>
          <w:left w:val="nil"/>
          <w:bottom w:val="nil"/>
          <w:right w:val="nil"/>
          <w:between w:val="nil"/>
          <w:bar w:val="nil"/>
        </w:pBdr>
        <w:spacing w:before="0" w:after="240"/>
        <w:rPr>
          <w:noProof/>
        </w:rPr>
      </w:pPr>
      <w:r>
        <w:rPr>
          <w:noProof/>
        </w:rPr>
        <w:t>За да се гарантира прозрачност на информацията относно разширения вътрешен пазар за всички оператори в ЕИП, в адаптация и), подточка ii) се предвижда ЕОЦКП да включва в своя списък за публикуване и уведомленията, получени от Надзорния орган на ЕАСТ.</w:t>
      </w:r>
    </w:p>
    <w:p>
      <w:pPr>
        <w:rPr>
          <w:i/>
          <w:noProof/>
          <w:u w:val="single"/>
        </w:rPr>
      </w:pPr>
      <w:r>
        <w:rPr>
          <w:i/>
          <w:noProof/>
          <w:u w:val="single"/>
        </w:rPr>
        <w:t>Задължение за лицензиране на нови показатели (адаптация й) във връзка с Регламент (ЕС) № 600/2014)</w:t>
      </w:r>
    </w:p>
    <w:p>
      <w:pPr>
        <w:rPr>
          <w:noProof/>
        </w:rPr>
      </w:pPr>
      <w:r>
        <w:rPr>
          <w:noProof/>
        </w:rPr>
        <w:t>В съответствие с член 7 от Споразумението за ЕИП само актовете, които са включени в Споразумението за ЕИП, са задължителни за членуващите в ЕИП държави от ЕАСТ. Следователно задължението за лицензиране на нови показатели, разработени след датата на влизане в сила на РПФИ, може съответно да се прилага едва от датата на влизане в сила на Решението на Съвместния комитет за включването му в Споразумението за ЕИП. За тази цел с адаптация й), подточка i) се коригира текстът на член 37, параграф 2.</w:t>
      </w:r>
    </w:p>
    <w:p>
      <w:pPr>
        <w:pBdr>
          <w:top w:val="nil"/>
          <w:left w:val="nil"/>
          <w:bottom w:val="nil"/>
          <w:right w:val="nil"/>
          <w:between w:val="nil"/>
          <w:bar w:val="nil"/>
        </w:pBdr>
        <w:spacing w:before="0" w:after="240"/>
      </w:pPr>
      <w:r>
        <w:rPr>
          <w:noProof/>
        </w:rPr>
        <w:lastRenderedPageBreak/>
        <w:t>Освен това с адаптация й), подточка ii) позоваванията на членове 101 и 102 от ДФЕС относно правилата за конкуренцията се изменят, като се посочват членове 53 и 54 от Споразумението за ЕИП, които съставляват общата референтна правна рамка между договарящите се страни по Споразумението за ЕИП.</w:t>
      </w:r>
    </w:p>
    <w:p>
      <w:pPr>
        <w:pBdr>
          <w:top w:val="nil"/>
          <w:left w:val="nil"/>
          <w:bottom w:val="nil"/>
          <w:right w:val="nil"/>
          <w:between w:val="nil"/>
          <w:bar w:val="nil"/>
        </w:pBdr>
        <w:spacing w:before="0" w:after="240"/>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2019/0022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позицията, която трябва да се заеме от името на Европейския съюз в рамките на Съвместния комитет на ЕИП във връзка с изменение на </w:t>
      </w:r>
      <w:r>
        <w:rPr>
          <w:noProof/>
        </w:rPr>
        <w:br/>
        <w:t>приложение IX (Финансови услуги) към Споразумението за ЕИП</w:t>
      </w:r>
      <w:r>
        <w:rPr>
          <w:noProof/>
        </w:rPr>
        <w:br/>
      </w:r>
      <w:r>
        <w:rPr>
          <w:noProof/>
        </w:rPr>
        <w:br/>
        <w:t xml:space="preserve">(Регламент за пазарите на финансови инструменти (РПФИ) и </w:t>
      </w:r>
      <w:r>
        <w:rPr>
          <w:noProof/>
        </w:rPr>
        <w:br/>
        <w:t>Директива ДПФИ II)</w:t>
      </w:r>
      <w:r>
        <w:rPr>
          <w:noProof/>
        </w:rPr>
        <w:br/>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3"/>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4"/>
      </w:r>
      <w:r>
        <w:rPr>
          <w:noProof/>
        </w:rPr>
        <w:t xml:space="preserve"> („Споразумението за ЕИП“) влезе в сила на 1 януари 1994 г.</w:t>
      </w:r>
    </w:p>
    <w:p>
      <w:pPr>
        <w:pStyle w:val="ManualConsidrant"/>
        <w:rPr>
          <w:noProof/>
        </w:rPr>
      </w:pPr>
      <w:r>
        <w:t>(2)</w:t>
      </w:r>
      <w:r>
        <w:tab/>
      </w:r>
      <w:r>
        <w:rPr>
          <w:noProof/>
        </w:rPr>
        <w:t xml:space="preserve">Съгласно член 98 от Споразумението за ЕИП Съвместният комитет на ЕИП може да реши да измени, </w:t>
      </w:r>
      <w:r>
        <w:rPr>
          <w:i/>
          <w:noProof/>
        </w:rPr>
        <w:t>inter alia</w:t>
      </w:r>
      <w:r>
        <w:rPr>
          <w:noProof/>
        </w:rPr>
        <w:t>, приложение IX към Споразумението за ЕИП, което съдържа разпоредби относно финансовите услуги.</w:t>
      </w:r>
    </w:p>
    <w:p>
      <w:pPr>
        <w:pStyle w:val="ManualConsidrant"/>
        <w:rPr>
          <w:noProof/>
        </w:rPr>
      </w:pPr>
      <w:r>
        <w:t>(3)</w:t>
      </w:r>
      <w:r>
        <w:tab/>
      </w:r>
      <w:r>
        <w:rPr>
          <w:noProof/>
        </w:rPr>
        <w:t>Регламент (ЕС) № 600/2014 на Европейския парламент и на Съвета</w:t>
      </w:r>
      <w:r>
        <w:rPr>
          <w:rStyle w:val="FootnoteReference"/>
          <w:noProof/>
        </w:rPr>
        <w:footnoteReference w:id="5"/>
      </w:r>
      <w:r>
        <w:rPr>
          <w:noProof/>
        </w:rPr>
        <w:t xml:space="preserve"> и Директива 2014/65/ЕС на Европейския парламент и на Съвета</w:t>
      </w:r>
      <w:r>
        <w:rPr>
          <w:rStyle w:val="FootnoteReference"/>
          <w:noProof/>
        </w:rPr>
        <w:footnoteReference w:id="6"/>
      </w:r>
      <w:r>
        <w:rPr>
          <w:noProof/>
        </w:rPr>
        <w:t xml:space="preserve"> следва да бъдaт включени в Споразумението за ЕИП.</w:t>
      </w:r>
    </w:p>
    <w:p>
      <w:pPr>
        <w:pStyle w:val="ManualConsidrant"/>
        <w:rPr>
          <w:noProof/>
        </w:rPr>
      </w:pPr>
      <w:r>
        <w:t>(4)</w:t>
      </w:r>
      <w:r>
        <w:tab/>
      </w:r>
      <w:r>
        <w:rPr>
          <w:noProof/>
        </w:rPr>
        <w:t xml:space="preserve">Поради това приложение IX към Споразумението за ЕИП следва да бъде съответно изменено. </w:t>
      </w:r>
    </w:p>
    <w:p>
      <w:pPr>
        <w:pStyle w:val="ManualConsidrant"/>
        <w:rPr>
          <w:noProof/>
        </w:rPr>
      </w:pPr>
      <w:r>
        <w:t>(5)</w:t>
      </w:r>
      <w:r>
        <w:tab/>
      </w:r>
      <w:r>
        <w:rPr>
          <w:noProof/>
        </w:rPr>
        <w:t>Следователно 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Съвместния комитет на ЕИП във връзка с предложеното изменение на приложение IX (Финансови услуги) към Споразумението за ЕИП, се основава на проектите на решения на Съвместния комитет на ЕИП, приложени към настоящото решение.</w:t>
      </w:r>
    </w:p>
    <w:p>
      <w:pPr>
        <w:pStyle w:val="Titrearticle"/>
        <w:keepNext w:val="0"/>
        <w:rPr>
          <w:noProof/>
        </w:rPr>
      </w:pPr>
      <w:r>
        <w:rPr>
          <w:noProof/>
        </w:rPr>
        <w:t>Член 2</w:t>
      </w:r>
    </w:p>
    <w:p>
      <w:pPr>
        <w:keepLines/>
        <w:rPr>
          <w:noProof/>
        </w:rPr>
      </w:pPr>
      <w:r>
        <w:rPr>
          <w:noProof/>
        </w:rPr>
        <w:t>Настоящото решение влиза в сила в деня на приемането му.</w:t>
      </w:r>
    </w:p>
    <w:p>
      <w:pPr>
        <w:keepNext/>
        <w:keepLines/>
        <w:rPr>
          <w:noProof/>
        </w:rPr>
      </w:pPr>
    </w:p>
    <w:p>
      <w:pPr>
        <w:keepNext/>
        <w:keepLines/>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600/2014 на Европейския парламент и на Съвета от 15 май 2014 г. относно пазарите на финансови инструменти и за изменение на Регламент (ЕС) № 648/2012, поправен с ОВ L 270, 15.10.2015 г., стр. 4, OJ L 187, 12.7.2016 г., стр. 30 и ОВ L 278, 27.10.2017 г., стр. 54.</w:t>
      </w:r>
    </w:p>
    <w:p>
      <w:pPr>
        <w:pStyle w:val="FootnoteText"/>
        <w:ind w:firstLine="0"/>
      </w:pPr>
    </w:p>
    <w:p>
      <w:pPr>
        <w:pStyle w:val="FootnoteText"/>
        <w:ind w:firstLine="0"/>
      </w:pPr>
      <w:r>
        <w:t>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поправена с ОВ L 188, 13.7.2016 г., стр. 28, ОВ L 273, 8.10.2016 г., стр. 35 и ОВ L 64, 10.3.2017 г., стр. 116.</w:t>
      </w:r>
    </w:p>
  </w:footnote>
  <w:footnote w:id="2">
    <w:p>
      <w:pPr>
        <w:pStyle w:val="FootnoteText"/>
        <w:rPr>
          <w:iCs/>
        </w:rPr>
      </w:pPr>
      <w:r>
        <w:rPr>
          <w:rStyle w:val="FootnoteReference"/>
        </w:rPr>
        <w:footnoteRef/>
      </w:r>
      <w:r>
        <w:tab/>
        <w:t>ОВ L 305, 30.11.1994 г., стр. 6—8.</w:t>
      </w:r>
    </w:p>
  </w:footnote>
  <w:footnote w:id="3">
    <w:p>
      <w:pPr>
        <w:pStyle w:val="FootnoteText"/>
      </w:pPr>
      <w:r>
        <w:rPr>
          <w:rStyle w:val="FootnoteReference"/>
        </w:rPr>
        <w:footnoteRef/>
      </w:r>
      <w:r>
        <w:tab/>
        <w:t>ОВ L 305, 30.11.1994 г., стр. 6.</w:t>
      </w:r>
    </w:p>
  </w:footnote>
  <w:footnote w:id="4">
    <w:p>
      <w:pPr>
        <w:pStyle w:val="FootnoteText"/>
      </w:pPr>
      <w:r>
        <w:rPr>
          <w:rStyle w:val="FootnoteReference"/>
        </w:rPr>
        <w:footnoteRef/>
      </w:r>
      <w:r>
        <w:tab/>
        <w:t xml:space="preserve">ОВ L 1, 3.1.1994 г., стр. 3. </w:t>
      </w:r>
    </w:p>
  </w:footnote>
  <w:footnote w:id="5">
    <w:p>
      <w:pPr>
        <w:pStyle w:val="FootnoteText"/>
      </w:pPr>
      <w:r>
        <w:rPr>
          <w:rStyle w:val="FootnoteReference"/>
        </w:rPr>
        <w:footnoteRef/>
      </w:r>
      <w:r>
        <w:tab/>
        <w:t xml:space="preserve">Регламент (ЕС) № 600/2014 на Европейския парламент и на Съвета от 15 май 2014 г. относно пазарите на финансови инструменти и за изменение на Регламент (ЕС) № 648/2012, поправен с ОВ L 270, 15.10.2015 г., стр. 4, OJ L 187, 12.7.2016 г., стр. 30 и ОВ L 278, 27.10.2017 г., стр. 54. </w:t>
      </w:r>
    </w:p>
  </w:footnote>
  <w:footnote w:id="6">
    <w:p>
      <w:pPr>
        <w:pStyle w:val="FootnoteText"/>
      </w:pPr>
      <w:r>
        <w:rPr>
          <w:rStyle w:val="FootnoteReference"/>
        </w:rPr>
        <w:footnoteRef/>
      </w:r>
      <w:r>
        <w:tab/>
        <w:t xml:space="preserve">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поправена с ОВ L 188, 13.7.2016 г., стр. 28, ОВ L 273, 8.10.2016 г., стр. 35 и ОВ L 64, 10.3.2017 г., стр. 116.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7EF4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42612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8769B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19818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148C0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2426B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F528E4C"/>
    <w:lvl w:ilvl="0">
      <w:start w:val="1"/>
      <w:numFmt w:val="decimal"/>
      <w:pStyle w:val="ListNumber"/>
      <w:lvlText w:val="%1."/>
      <w:lvlJc w:val="left"/>
      <w:pPr>
        <w:tabs>
          <w:tab w:val="num" w:pos="360"/>
        </w:tabs>
        <w:ind w:left="360" w:hanging="360"/>
      </w:pPr>
    </w:lvl>
  </w:abstractNum>
  <w:abstractNum w:abstractNumId="7">
    <w:nsid w:val="FFFFFF89"/>
    <w:multiLevelType w:val="singleLevel"/>
    <w:tmpl w:val="19AE73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8 13:49:1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06ECAFE-2B0E-4467-88CC-5F51245367FA"/>
    <w:docVar w:name="LW_COVERPAGE_TYPE" w:val="1"/>
    <w:docVar w:name="LW_CROSSREFERENCE" w:val="&lt;UNUSED&gt;"/>
    <w:docVar w:name="LW_DocType" w:val="COM"/>
    <w:docVar w:name="LW_EMISSION" w:val="31.1.2019"/>
    <w:docVar w:name="LW_EMISSION_ISODATE" w:val="2019-01-3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22"/>
    <w:docVar w:name="LW_REF.II.NEW.CP_YEAR" w:val="2019"/>
    <w:docVar w:name="LW_REF.INST.NEW" w:val="COM"/>
    <w:docVar w:name="LW_REF.INST.NEW_ADOPTED" w:val="final"/>
    <w:docVar w:name="LW_REF.INST.NEW_TEXT" w:val="(2019) 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 \u1085?\u1072? _x000b_\u1087?\u1088?\u1080?\u1083?\u1086?\u1078?\u1077?\u1085?\u1080?\u1077? IX (\u1060?\u1080?\u1085?\u1072?\u1085?\u1089?\u1086?\u1074?\u1080? \u1091?\u1089?\u1083?\u1091?\u1075?\u1080?) \u1082?\u1098?\u1084? \u1057?\u1087?\u1086?\u1088?\u1072?\u1079?\u1091?\u1084?\u1077?\u1085?\u1080?\u1077?\u1090?\u1086? \u1079?\u1072? \u1045?\u1048?\u1055?_x000b__x000b_(\u1056?\u1077?\u1075?\u1083?\u1072?\u1084?\u1077?\u1085?\u1090? \u1079?\u1072? \u1087?\u1072?\u1079?\u1072?\u1088?\u1080?\u1090?\u1077? \u1085?\u1072? \u1092?\u1080?\u1085?\u1072?\u1085?\u1089?\u1086?\u1074?\u1080? \u1080?\u1085?\u1089?\u1090?\u1088?\u1091?\u1084?\u1077?\u1085?\u1090?\u1080? (\u1056?\u1055?\u1060?\u1048?) \u1080? _x000b_\u1044?\u1080?\u1088?\u1077?\u1082?\u1090?\u1080?\u1074?\u1072? \u1044?\u1055?\u1060?\u1048? II)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07476">
      <w:bodyDiv w:val="1"/>
      <w:marLeft w:val="0"/>
      <w:marRight w:val="0"/>
      <w:marTop w:val="0"/>
      <w:marBottom w:val="0"/>
      <w:divBdr>
        <w:top w:val="none" w:sz="0" w:space="0" w:color="auto"/>
        <w:left w:val="none" w:sz="0" w:space="0" w:color="auto"/>
        <w:bottom w:val="none" w:sz="0" w:space="0" w:color="auto"/>
        <w:right w:val="none" w:sz="0" w:space="0" w:color="auto"/>
      </w:divBdr>
    </w:div>
    <w:div w:id="1925990825">
      <w:bodyDiv w:val="1"/>
      <w:marLeft w:val="0"/>
      <w:marRight w:val="0"/>
      <w:marTop w:val="0"/>
      <w:marBottom w:val="0"/>
      <w:divBdr>
        <w:top w:val="none" w:sz="0" w:space="0" w:color="auto"/>
        <w:left w:val="none" w:sz="0" w:space="0" w:color="auto"/>
        <w:bottom w:val="none" w:sz="0" w:space="0" w:color="auto"/>
        <w:right w:val="none" w:sz="0" w:space="0" w:color="auto"/>
      </w:divBdr>
    </w:div>
    <w:div w:id="201151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611DB-AC96-4C65-9394-75C42A61A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1475</Words>
  <Characters>8159</Characters>
  <Application>Microsoft Office Word</Application>
  <DocSecurity>0</DocSecurity>
  <Lines>173</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2019-01-25T14:38:00Z</dcterms:created>
  <dcterms:modified xsi:type="dcterms:W3CDTF">2019-01-28T12:49:00Z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