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FD44D473-BB83-4F4B-A50D-2DFA913B1BE3" style="width:451.25pt;height:422.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ПРЕДЛОЖЕНИЕТО</w:t>
      </w:r>
    </w:p>
    <w:p>
      <w:pPr>
        <w:pStyle w:val="Point0"/>
        <w:rPr>
          <w:b/>
          <w:noProof/>
        </w:rPr>
      </w:pPr>
      <w:r>
        <w:rPr>
          <w:b/>
          <w:noProof/>
          <w:color w:val="000000"/>
          <w:u w:color="000000"/>
          <w:bdr w:val="nil"/>
        </w:rPr>
        <w:t>•</w:t>
      </w:r>
      <w:r>
        <w:rPr>
          <w:noProof/>
        </w:rPr>
        <w:tab/>
      </w:r>
      <w:r>
        <w:rPr>
          <w:b/>
          <w:noProof/>
        </w:rPr>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С проекта на решение на Съвместния комитет на ЕИП (приложен към предложението за решение на Съвета) се цели изменение на приложение IX (Финансови услуги) и на приложение XIX (Защита на потребителите) към Споразумението за ЕИП, за да се включи Директива 2014/17/ЕС на Европейския парламент и на Съвета от 4 февруари 2014 г. относно договорите за кредити за жилищни недвижими имоти за потребители.</w:t>
      </w:r>
    </w:p>
    <w:p>
      <w:pPr>
        <w:pStyle w:val="Point0"/>
        <w:rPr>
          <w:b/>
          <w:noProof/>
          <w:color w:val="000000"/>
          <w:u w:color="000000"/>
          <w:bdr w:val="nil"/>
        </w:rPr>
      </w:pPr>
      <w:r>
        <w:rPr>
          <w:b/>
          <w:noProof/>
          <w:color w:val="000000"/>
          <w:u w:color="000000"/>
          <w:bdr w:val="nil"/>
        </w:rPr>
        <w:t>•</w:t>
      </w:r>
      <w:r>
        <w:rPr>
          <w:noProof/>
        </w:rPr>
        <w:tab/>
      </w:r>
      <w:r>
        <w:rPr>
          <w:b/>
          <w:noProof/>
          <w:color w:val="000000"/>
          <w:u w:color="000000"/>
          <w:bdr w:val="nil"/>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Приложеният проект на решение на Съвместния комитет разширява обхвата на вече съществуващата политика на ЕС, за да включи в нея членуващите в ЕИП държави от ЕАСТ (Норвегия, Исландия и Лихтенщайн). </w:t>
      </w:r>
    </w:p>
    <w:p>
      <w:pPr>
        <w:pStyle w:val="Point0"/>
        <w:rPr>
          <w:b/>
          <w:noProof/>
          <w:color w:val="000000"/>
          <w:u w:color="000000"/>
          <w:bdr w:val="nil"/>
        </w:rPr>
      </w:pPr>
      <w:r>
        <w:rPr>
          <w:b/>
          <w:noProof/>
          <w:color w:val="000000"/>
          <w:u w:color="000000"/>
          <w:bdr w:val="nil"/>
        </w:rPr>
        <w:t>•</w:t>
      </w:r>
      <w:r>
        <w:rPr>
          <w:noProof/>
        </w:rPr>
        <w:tab/>
      </w:r>
      <w:r>
        <w:rPr>
          <w:b/>
          <w:noProof/>
          <w:color w:val="000000"/>
          <w:u w:color="000000"/>
          <w:bdr w:val="nil"/>
        </w:rPr>
        <w:t>Съгласуваност с други политики на Съюза</w:t>
      </w:r>
    </w:p>
    <w:p>
      <w:pPr>
        <w:rPr>
          <w:noProof/>
        </w:rPr>
      </w:pPr>
      <w:r>
        <w:rPr>
          <w:noProof/>
        </w:rPr>
        <w:t xml:space="preserve">Разширяването на прилагането на достиженията на правото на ЕС за членуващите в ЕИП държави от ЕАСТ чрез включването на тези достижения в Споразумението за ЕИП се извършва в съответствие с целите и принципите на това споразумение с цел създаването на динамично и хомогенно европейско икономическо пространство, основано на общи правила и еднакви условия на конкуренция. </w:t>
      </w:r>
    </w:p>
    <w:p>
      <w:pPr>
        <w:pStyle w:val="ManualHeading1"/>
        <w:rPr>
          <w:noProof/>
        </w:rPr>
      </w:pPr>
      <w:r>
        <w:t>2.</w:t>
      </w:r>
      <w:r>
        <w:tab/>
      </w:r>
      <w:r>
        <w:rPr>
          <w:noProof/>
        </w:rPr>
        <w:t>ПРАВНО ОСНОВАНИЕ, СУБИСИДИАРНОСТ И ПРОПОРЦИОНАЛНОСТ</w:t>
      </w:r>
    </w:p>
    <w:p>
      <w:pPr>
        <w:pStyle w:val="Point0"/>
        <w:rPr>
          <w:b/>
          <w:noProof/>
          <w:color w:val="000000"/>
          <w:u w:color="000000"/>
          <w:bdr w:val="nil"/>
        </w:rPr>
      </w:pPr>
      <w:r>
        <w:rPr>
          <w:b/>
          <w:noProof/>
          <w:color w:val="000000"/>
          <w:u w:color="000000"/>
          <w:bdr w:val="nil"/>
        </w:rPr>
        <w:t>•</w:t>
      </w:r>
      <w:r>
        <w:rPr>
          <w:noProof/>
        </w:rPr>
        <w:tab/>
      </w:r>
      <w:r>
        <w:rPr>
          <w:b/>
          <w:noProof/>
          <w:color w:val="000000"/>
          <w:u w:color="000000"/>
          <w:bdr w:val="nil"/>
        </w:rPr>
        <w:t>Правно основание</w:t>
      </w:r>
    </w:p>
    <w:p>
      <w:pPr>
        <w:rPr>
          <w:noProof/>
        </w:rPr>
      </w:pPr>
      <w:r>
        <w:rPr>
          <w:noProof/>
        </w:rPr>
        <w:t>Законодателството, което следва да бъде включено в Споразумението за ЕИП, се основава на член 114 от Договора за функционирането на Европейския съюз.</w:t>
      </w:r>
    </w:p>
    <w:p>
      <w:pPr>
        <w:rPr>
          <w:noProof/>
        </w:rPr>
      </w:pPr>
      <w:r>
        <w:rPr>
          <w:noProof/>
        </w:rPr>
        <w:t>Съгласно член 1, параграф 3 от Регламент (ЕО) № 2894/94 на Съвета</w:t>
      </w:r>
      <w:r>
        <w:rPr>
          <w:rStyle w:val="FootnoteReference"/>
          <w:noProof/>
        </w:rPr>
        <w:footnoteReference w:id="1"/>
      </w:r>
      <w:r>
        <w:rPr>
          <w:noProof/>
        </w:rPr>
        <w:t xml:space="preserve"> относно условията за прилагане на Споразумението за Европейското икономическо пространство Съветът определя въз основа на предложение на Комисията позицията, която трябва да се заеме от името на Съюза по отношение на подобни решения. </w:t>
      </w:r>
    </w:p>
    <w:p>
      <w:pPr>
        <w:rPr>
          <w:noProof/>
        </w:rPr>
      </w:pPr>
      <w:r>
        <w:rPr>
          <w:noProof/>
        </w:rPr>
        <w:t>В сътрудничество с ЕСВД Комисията представя проекта на решение на Съвместния комитет на ЕИП пред Съвета, който следва да го приеме като позиция на Съюза. Комисията се надява да има възможност да представи позицията на Съюза пред Съвместния комитет на ЕИП възможно най-скоро.</w:t>
      </w:r>
    </w:p>
    <w:p>
      <w:pPr>
        <w:pStyle w:val="Point0"/>
        <w:rPr>
          <w:b/>
          <w:noProof/>
          <w:color w:val="000000"/>
          <w:u w:color="000000"/>
          <w:bdr w:val="nil"/>
        </w:rPr>
      </w:pPr>
      <w:r>
        <w:rPr>
          <w:b/>
          <w:noProof/>
          <w:color w:val="000000"/>
          <w:u w:color="000000"/>
          <w:bdr w:val="nil"/>
        </w:rPr>
        <w:t>•</w:t>
      </w:r>
      <w:r>
        <w:rPr>
          <w:noProof/>
        </w:rPr>
        <w:tab/>
      </w:r>
      <w:r>
        <w:rPr>
          <w:b/>
          <w:noProof/>
          <w:color w:val="000000"/>
          <w:u w:color="000000"/>
          <w:bdr w:val="nil"/>
        </w:rPr>
        <w:t xml:space="preserve">Субсидиарност (при неизключителна компетентност) </w:t>
      </w:r>
    </w:p>
    <w:p>
      <w:pPr>
        <w:rPr>
          <w:noProof/>
        </w:rPr>
      </w:pPr>
      <w:r>
        <w:rPr>
          <w:noProof/>
        </w:rPr>
        <w:t xml:space="preserve">Предложението е в съответствие с принципа на субсидиарност по посочената по-долу причина. </w:t>
      </w:r>
    </w:p>
    <w:p>
      <w:pPr>
        <w:rPr>
          <w:noProof/>
        </w:rPr>
      </w:pPr>
      <w:r>
        <w:rPr>
          <w:noProof/>
        </w:rPr>
        <w:t xml:space="preserve">Целта на настоящото предложение, а именно да се осигури хомогенността на вътрешния пазар, не може да бъде постигната в достатъчна степен от държавите членки, вследствие на което може, с оглед на последиците, да бъде постигната по-добре на равнището на Съюза. </w:t>
      </w:r>
    </w:p>
    <w:p>
      <w:pPr>
        <w:rPr>
          <w:noProof/>
        </w:rPr>
      </w:pPr>
      <w:r>
        <w:rPr>
          <w:noProof/>
        </w:rPr>
        <w:lastRenderedPageBreak/>
        <w:t xml:space="preserve">Процесът на включване на достиженията на правото на ЕС в Споразумението за ЕИП се извършва в съответствие с Регламент (ЕО) № 2894/94 на Съвета от 28 ноември 1994 г. относно условията за прилагане на Споразумението за Европейското икономическо пространство, който потвърждава възприетия подход. </w:t>
      </w:r>
    </w:p>
    <w:p>
      <w:pPr>
        <w:pStyle w:val="Point0"/>
        <w:rPr>
          <w:b/>
          <w:noProof/>
          <w:color w:val="000000"/>
          <w:u w:color="000000"/>
          <w:bdr w:val="nil"/>
        </w:rPr>
      </w:pPr>
      <w:r>
        <w:rPr>
          <w:b/>
          <w:noProof/>
          <w:color w:val="000000"/>
          <w:u w:color="000000"/>
          <w:bdr w:val="nil"/>
        </w:rPr>
        <w:t>•</w:t>
      </w:r>
      <w:r>
        <w:rPr>
          <w:noProof/>
        </w:rPr>
        <w:tab/>
      </w:r>
      <w:r>
        <w:rPr>
          <w:b/>
          <w:noProof/>
          <w:color w:val="000000"/>
          <w:u w:color="000000"/>
          <w:bdr w:val="nil"/>
        </w:rPr>
        <w:t>Пропорционалност</w:t>
      </w:r>
    </w:p>
    <w:p>
      <w:pPr>
        <w:rPr>
          <w:noProof/>
        </w:rPr>
      </w:pPr>
      <w:r>
        <w:rPr>
          <w:noProof/>
        </w:rPr>
        <w:t>В съответствие с принципа на пропорционалност настоящото предложение не надхвърля необходимото за постигането на своята цел.</w:t>
      </w:r>
    </w:p>
    <w:p>
      <w:pPr>
        <w:pStyle w:val="Point0"/>
        <w:rPr>
          <w:b/>
          <w:noProof/>
          <w:color w:val="000000"/>
          <w:u w:color="000000"/>
          <w:bdr w:val="nil"/>
        </w:rPr>
      </w:pPr>
      <w:r>
        <w:rPr>
          <w:b/>
          <w:noProof/>
          <w:color w:val="000000"/>
          <w:u w:color="000000"/>
          <w:bdr w:val="nil"/>
        </w:rPr>
        <w:t>•</w:t>
      </w:r>
      <w:r>
        <w:rPr>
          <w:noProof/>
        </w:rPr>
        <w:tab/>
      </w:r>
      <w:r>
        <w:rPr>
          <w:b/>
          <w:noProof/>
          <w:color w:val="000000"/>
          <w:u w:color="000000"/>
          <w:bdr w:val="nil"/>
        </w:rPr>
        <w:t>Избор на инструмент</w:t>
      </w:r>
    </w:p>
    <w:p>
      <w:pPr>
        <w:rPr>
          <w:noProof/>
        </w:rPr>
      </w:pPr>
      <w:r>
        <w:rPr>
          <w:noProof/>
        </w:rPr>
        <w:t xml:space="preserve">В съответствие с член 98 от Споразумението за ЕИП избраният инструмент е решение на Съвместния комитет на ЕИП. Съвместният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 </w:t>
      </w:r>
    </w:p>
    <w:p>
      <w:pPr>
        <w:pStyle w:val="ManualHeading1"/>
        <w:rPr>
          <w:noProof/>
        </w:rPr>
      </w:pPr>
      <w:r>
        <w:t>3.</w:t>
      </w:r>
      <w:r>
        <w:tab/>
      </w:r>
      <w:r>
        <w:rPr>
          <w:noProof/>
        </w:rPr>
        <w:t>РЕЗУЛТАТИ ОТ ПОСЛЕДВАЩИТЕ ОЦЕНКИ, КОНСУЛТАЦИИТЕ СЪС ЗАИНТЕРЕСОВАНИТЕ СТРАНИ И ОЦЕНКИТЕ НА ВЪЗДЕЙСТВИЕТО</w:t>
      </w:r>
    </w:p>
    <w:p>
      <w:pPr>
        <w:rPr>
          <w:noProof/>
        </w:rPr>
      </w:pPr>
      <w:r>
        <w:rPr>
          <w:noProof/>
        </w:rPr>
        <w:t>Не се прилага.</w:t>
      </w:r>
    </w:p>
    <w:p>
      <w:pPr>
        <w:pStyle w:val="ManualHeading1"/>
        <w:rPr>
          <w:noProof/>
        </w:rPr>
      </w:pPr>
      <w:r>
        <w:t>4.</w:t>
      </w:r>
      <w:r>
        <w:tab/>
      </w:r>
      <w:r>
        <w:rPr>
          <w:noProof/>
        </w:rPr>
        <w:t>ОТРАЖЕНИЕ ВЪРХУ БЮДЖЕТА</w:t>
      </w:r>
    </w:p>
    <w:p>
      <w:pPr>
        <w:rPr>
          <w:noProof/>
        </w:rPr>
      </w:pPr>
      <w:r>
        <w:rPr>
          <w:noProof/>
        </w:rPr>
        <w:t>Не се очаква отражение върху бюджета в резултат на включването на Директива 2014/17/ЕС в Споразумението за ЕИП.</w:t>
      </w:r>
    </w:p>
    <w:p>
      <w:pPr>
        <w:pStyle w:val="ManualHeading1"/>
        <w:rPr>
          <w:noProof/>
        </w:rPr>
      </w:pPr>
      <w:r>
        <w:t>5.</w:t>
      </w:r>
      <w:r>
        <w:tab/>
      </w:r>
      <w:r>
        <w:rPr>
          <w:noProof/>
        </w:rPr>
        <w:t>ДРУГИ ЕЛЕМЕНТИ</w:t>
      </w:r>
    </w:p>
    <w:p>
      <w:pPr>
        <w:rPr>
          <w:b/>
          <w:noProof/>
          <w:u w:val="single"/>
        </w:rPr>
      </w:pPr>
      <w:r>
        <w:rPr>
          <w:b/>
          <w:noProof/>
          <w:u w:val="single"/>
        </w:rPr>
        <w:t xml:space="preserve">Основните адаптации, поискани от страна на ЕАСТ: </w:t>
      </w:r>
    </w:p>
    <w:p>
      <w:pPr>
        <w:rPr>
          <w:noProof/>
        </w:rPr>
      </w:pPr>
      <w:r>
        <w:rPr>
          <w:noProof/>
        </w:rPr>
        <w:t>Обосновка и предложено решение:</w:t>
      </w:r>
    </w:p>
    <w:p>
      <w:pPr>
        <w:rPr>
          <w:noProof/>
          <w:u w:val="single"/>
        </w:rPr>
      </w:pPr>
      <w:r>
        <w:rPr>
          <w:noProof/>
          <w:u w:val="single"/>
        </w:rPr>
        <w:t>Адаптация на член 5, параграф 3, буква б) — адаптация б)</w:t>
      </w:r>
    </w:p>
    <w:p>
      <w:pPr>
        <w:rPr>
          <w:noProof/>
        </w:rPr>
      </w:pPr>
      <w:r>
        <w:rPr>
          <w:noProof/>
        </w:rPr>
        <w:t>Вследствие на разделението на правомощията между Европейския банков орган (ЕБО) и Надзорния орган на ЕАСТ се въвежда адаптация с цел включването на Надзорния орган на ЕАСТ в списъка на органите, с които националните органи си сътрудничат.</w:t>
      </w:r>
    </w:p>
    <w:p>
      <w:pPr>
        <w:rPr>
          <w:noProof/>
          <w:u w:val="single"/>
        </w:rPr>
      </w:pPr>
      <w:r>
        <w:rPr>
          <w:noProof/>
          <w:u w:val="single"/>
        </w:rPr>
        <w:t>Адаптация на член 12, параграф 3 и член 27, параграф 3 — адаптация в)</w:t>
      </w:r>
    </w:p>
    <w:p>
      <w:pPr>
        <w:rPr>
          <w:noProof/>
        </w:rPr>
      </w:pPr>
      <w:r>
        <w:rPr>
          <w:noProof/>
        </w:rPr>
        <w:t xml:space="preserve">В съответствие с член 7 от Споразумението за ЕИП само актовете, които са включени в Споразумението за ЕИП, са задължителни за членуващите в ЕИП държави от ЕАСТ. Следователно някои задължения, съдържащи се в Директивата, могатда се прилагат само от датата на влизане в сила на Решението на Съвместния комитет на ЕИП за включването ѝ в Споразумението за ЕИП. Адаптация в) гарантира, че релевантната дата за прилагане на член 12, параграф 3 и член 27, параграф 3 е датата на влизане в сила на Директивата в ЕИП. </w:t>
      </w:r>
    </w:p>
    <w:p>
      <w:pPr>
        <w:rPr>
          <w:noProof/>
        </w:rPr>
      </w:pPr>
      <w:r>
        <w:rPr>
          <w:noProof/>
          <w:u w:val="single"/>
        </w:rPr>
        <w:t>Адаптация на член 14, параграф 5 — адаптация г)</w:t>
      </w:r>
    </w:p>
    <w:p>
      <w:pPr>
        <w:rPr>
          <w:noProof/>
        </w:rPr>
      </w:pPr>
      <w:r>
        <w:rPr>
          <w:noProof/>
        </w:rPr>
        <w:t xml:space="preserve">В съответствие с член 7 от Споразумението за ЕИП само актовете, които са включени в Споразумението за ЕИП, са задължителни за членуващите в ЕИП държави от ЕАСТ. Следователно някои задължения, съдържащи се в Директивата, могатда се прилагат само от датата на влизане в сила на Решението на Съвместния комитет на ЕИП за включването ѝ в Споразумението за ЕИП. Адаптация г) гарантира, че в контекста на ЕИП следва да се счита, че преходните периоди по отношение на националните </w:t>
      </w:r>
      <w:r>
        <w:rPr>
          <w:noProof/>
        </w:rPr>
        <w:lastRenderedPageBreak/>
        <w:t xml:space="preserve">правила, съществували преди влизането в сила на Директивата, се прилагат във връзка с влизането в сила на Директивата в ЕИП. </w:t>
      </w:r>
    </w:p>
    <w:p>
      <w:pPr>
        <w:rPr>
          <w:noProof/>
        </w:rPr>
      </w:pPr>
      <w:r>
        <w:rPr>
          <w:noProof/>
          <w:u w:val="single"/>
        </w:rPr>
        <w:t>Адаптация на член 26, параграф 2 — адаптация д)</w:t>
      </w:r>
    </w:p>
    <w:p>
      <w:pPr>
        <w:rPr>
          <w:noProof/>
        </w:rPr>
      </w:pPr>
      <w:r>
        <w:rPr>
          <w:noProof/>
        </w:rPr>
        <w:t>В Лихтенщайн се осъществяват само между 50 и 100 сделки с жилищна собственост всяка година според данните от данъчната администрация на Лихтенщайн. Необходим е много по-голям брой сделки с жилищна собственост за получаването на надеждни и значими статистически резултати относно пазара на жилищна собственост, както е предвидено в член 26, параграф 2 от Директивата.</w:t>
      </w:r>
    </w:p>
    <w:p>
      <w:pPr>
        <w:rPr>
          <w:noProof/>
        </w:rPr>
      </w:pPr>
      <w:r>
        <w:rPr>
          <w:noProof/>
        </w:rPr>
        <w:t>В сегашната ситуация статистическото проследяване би било в противоречие със следните принципи в Кодекса на европейската статистическа практика:</w:t>
      </w:r>
    </w:p>
    <w:p>
      <w:pPr>
        <w:pStyle w:val="Point0"/>
        <w:rPr>
          <w:noProof/>
        </w:rPr>
      </w:pPr>
      <w:r>
        <w:rPr>
          <w:noProof/>
        </w:rPr>
        <w:t>•</w:t>
      </w:r>
      <w:r>
        <w:rPr>
          <w:noProof/>
        </w:rPr>
        <w:tab/>
        <w:t>Принцип № 4: Статистическите органи са ангажирани по отношение на качеството.</w:t>
      </w:r>
    </w:p>
    <w:p>
      <w:pPr>
        <w:pStyle w:val="Point0"/>
        <w:rPr>
          <w:noProof/>
        </w:rPr>
      </w:pPr>
      <w:r>
        <w:rPr>
          <w:noProof/>
        </w:rPr>
        <w:t>•</w:t>
      </w:r>
      <w:r>
        <w:rPr>
          <w:noProof/>
        </w:rPr>
        <w:tab/>
        <w:t>Принцип № 7: Обоснованата методология предопределя качеството на статистиката.</w:t>
      </w:r>
    </w:p>
    <w:p>
      <w:pPr>
        <w:pStyle w:val="Point0"/>
        <w:rPr>
          <w:noProof/>
        </w:rPr>
      </w:pPr>
      <w:r>
        <w:rPr>
          <w:noProof/>
        </w:rPr>
        <w:t>•</w:t>
      </w:r>
      <w:r>
        <w:rPr>
          <w:noProof/>
        </w:rPr>
        <w:tab/>
        <w:t>Принцип № 12: Европейската статистика отразява действителността точно и надеждно.</w:t>
      </w:r>
    </w:p>
    <w:p>
      <w:pPr>
        <w:rPr>
          <w:noProof/>
        </w:rPr>
      </w:pPr>
      <w:r>
        <w:rPr>
          <w:noProof/>
        </w:rPr>
        <w:t xml:space="preserve">Съответно адаптация д) освобождава Лихтенщайн от задължението да извършва целесъобразно статистическо проследяване на пазара на жилищна собственост на неговата територия съгласно член 26, параграф 2 от Директивата. </w:t>
      </w:r>
    </w:p>
    <w:p>
      <w:pPr>
        <w:rPr>
          <w:noProof/>
        </w:rPr>
      </w:pPr>
      <w:r>
        <w:rPr>
          <w:noProof/>
          <w:u w:val="single"/>
        </w:rPr>
        <w:t>Адаптация на член 34, параграфи 2 и 4 и член 37 — адаптации е) и ж)</w:t>
      </w:r>
    </w:p>
    <w:p>
      <w:pPr>
        <w:rPr>
          <w:noProof/>
        </w:rPr>
      </w:pPr>
      <w:r>
        <w:rPr>
          <w:noProof/>
        </w:rPr>
        <w:t>Съгласно системата, установена с точка 31ж от приложение IX към Споразумението за ЕИП, компетентността за приемане на решения със задължителен характер в стълба на ЕАСТ по силата на член 19 от Регламента за ЕБО се поверява на Надзорния орган на ЕАСТ, докато повечето от техническите аспекти на надзора ще бъдат извършвани от ЕБО по отношение на въпросите, които се отнасят до държавите от ЕАСТ. ЕБО ще бъде компетентен също така за извършването на необвързваща медиация съгласно член 19, параграф 2 от Регламента за ЕБО.</w:t>
      </w:r>
    </w:p>
    <w:p>
      <w:pPr>
        <w:rPr>
          <w:noProof/>
        </w:rPr>
      </w:pPr>
      <w:r>
        <w:rPr>
          <w:noProof/>
        </w:rPr>
        <w:t xml:space="preserve">С адаптации е) и ж) се изяснява, че позоваванията на правомощията на ЕБО по силата на член 19 от Регламента за ЕБО в член 34, параграфи 2 и 4 и член 37 от Директивата следва да се разбират като отнасящи се, в зависимост от случая, до правомощията на Надзорния орган на ЕАСТ. </w:t>
      </w:r>
    </w:p>
    <w:p>
      <w:pPr>
        <w:rPr>
          <w:noProof/>
        </w:rPr>
      </w:pPr>
      <w:r>
        <w:rPr>
          <w:noProof/>
          <w:u w:val="single"/>
        </w:rPr>
        <w:t>Адаптация на член 43 — адаптация з)</w:t>
      </w:r>
    </w:p>
    <w:p>
      <w:pPr>
        <w:rPr>
          <w:noProof/>
        </w:rPr>
      </w:pPr>
      <w:r>
        <w:rPr>
          <w:noProof/>
        </w:rPr>
        <w:t xml:space="preserve">В съответствие с член 7 от Споразумението за ЕИП само актовете, които са включени в Споразумението за ЕИП, са задължителни за членуващите в ЕИП държави от ЕАСТ. Следователно някои задължения, съдържащи се в Директивата, могатда се прилагат само от датата на влизане в сила на Решението на Съвместния комитет на ЕИП за включването ѝ в Споразумението за ЕИП. С адаптация з) се гарантира, че в контекста на ЕИП се счита, че преходните периоди, посочени в член 43 от Директивата, в контекста на ЕИП се прилагат във връзка с влизането в сила на Директивата в ЕИП.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2019/0023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w:t>
      </w:r>
      <w:r>
        <w:rPr>
          <w:noProof/>
        </w:rPr>
        <w:br/>
        <w:t>в рамките на Съвместния комитет на ЕИП във връзка с изменение на приложение IX (Финансови услуги) и приложение XIX (Защита на потребителите) към Споразумението за ЕИП</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2"/>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3"/>
      </w:r>
      <w:r>
        <w:rPr>
          <w:noProof/>
        </w:rPr>
        <w:t xml:space="preserve"> („Споразумението за ЕИП“) влезе в сила на 1 януари 1994 г.</w:t>
      </w:r>
    </w:p>
    <w:p>
      <w:pPr>
        <w:pStyle w:val="ManualConsidrant"/>
        <w:rPr>
          <w:noProof/>
        </w:rPr>
      </w:pPr>
      <w:r>
        <w:t>(2)</w:t>
      </w:r>
      <w:r>
        <w:tab/>
      </w:r>
      <w:r>
        <w:rPr>
          <w:noProof/>
        </w:rPr>
        <w:t xml:space="preserve">В съответствие с член 98 от Споразумението за ЕИП Съвместният комитет на ЕИП може да реши да измени </w:t>
      </w:r>
      <w:r>
        <w:rPr>
          <w:i/>
          <w:noProof/>
        </w:rPr>
        <w:t>inter alia</w:t>
      </w:r>
      <w:r>
        <w:rPr>
          <w:noProof/>
        </w:rPr>
        <w:t xml:space="preserve"> приложение IX (Финансови услуги) и приложение XIX (Защита на потребителите) към Споразумението за ЕИП.</w:t>
      </w:r>
    </w:p>
    <w:p>
      <w:pPr>
        <w:pStyle w:val="ManualConsidrant"/>
        <w:rPr>
          <w:noProof/>
        </w:rPr>
      </w:pPr>
      <w:r>
        <w:t>(3)</w:t>
      </w:r>
      <w:r>
        <w:tab/>
      </w:r>
      <w:r>
        <w:rPr>
          <w:noProof/>
        </w:rPr>
        <w:t>Директива 2014/17/ЕС на Европейския парламент и на Съвета</w:t>
      </w:r>
      <w:r>
        <w:rPr>
          <w:rStyle w:val="FootnoteReference"/>
          <w:noProof/>
        </w:rPr>
        <w:t xml:space="preserve"> </w:t>
      </w:r>
      <w:r>
        <w:rPr>
          <w:rStyle w:val="FootnoteReference"/>
          <w:noProof/>
        </w:rPr>
        <w:footnoteReference w:id="4"/>
      </w:r>
      <w:r>
        <w:rPr>
          <w:noProof/>
        </w:rPr>
        <w:t xml:space="preserve"> следва да бъде включена в Споразумението за ЕИП.</w:t>
      </w:r>
    </w:p>
    <w:p>
      <w:pPr>
        <w:pStyle w:val="ManualConsidrant"/>
        <w:rPr>
          <w:noProof/>
        </w:rPr>
      </w:pPr>
      <w:r>
        <w:t>(4)</w:t>
      </w:r>
      <w:r>
        <w:tab/>
      </w:r>
      <w:r>
        <w:rPr>
          <w:noProof/>
        </w:rPr>
        <w:t xml:space="preserve">Приложение IX (Финансови услуги) и приложение XIX (Защита на потребителите) към Споразумението за ЕИП следва да бъдат съответно изменени. </w:t>
      </w:r>
    </w:p>
    <w:p>
      <w:pPr>
        <w:pStyle w:val="ManualConsidrant"/>
        <w:rPr>
          <w:noProof/>
        </w:rPr>
      </w:pPr>
      <w:r>
        <w:t>(5)</w:t>
      </w:r>
      <w:r>
        <w:tab/>
      </w:r>
      <w:r>
        <w:rPr>
          <w:noProof/>
        </w:rPr>
        <w:t>Ето защо 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noProof/>
        </w:rPr>
      </w:pPr>
      <w:r>
        <w:rPr>
          <w:noProof/>
        </w:rPr>
        <w:t>Позицията, която трябва да бъде заета от името на Съюза в рамките на Съвместния комитет на ЕИП във връзка с предложеното изменение на приложение IX (Финансови услуги) и приложение XIX (Защита на потребителите) към Споразумението за ЕИП,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iCs/>
          <w:lang w:val="pl-PL"/>
        </w:rPr>
      </w:pPr>
      <w:r>
        <w:rPr>
          <w:rStyle w:val="FootnoteReference"/>
        </w:rPr>
        <w:footnoteRef/>
      </w:r>
      <w:r>
        <w:tab/>
        <w:t>ОВ L 305, 30.11.1994 г., стр. 6—8.</w:t>
      </w:r>
    </w:p>
  </w:footnote>
  <w:footnote w:id="2">
    <w:p>
      <w:pPr>
        <w:pStyle w:val="FootnoteText"/>
        <w:rPr>
          <w:lang w:val="pl-PL"/>
        </w:rPr>
      </w:pPr>
      <w:r>
        <w:rPr>
          <w:rStyle w:val="FootnoteReference"/>
        </w:rPr>
        <w:footnoteRef/>
      </w:r>
      <w:r>
        <w:tab/>
        <w:t>ОВ L 305, 30.11.1994 г., стр. 6.</w:t>
      </w:r>
    </w:p>
  </w:footnote>
  <w:footnote w:id="3">
    <w:p>
      <w:pPr>
        <w:pStyle w:val="FootnoteText"/>
        <w:rPr>
          <w:lang w:val="pl-PL"/>
        </w:rPr>
      </w:pPr>
      <w:r>
        <w:rPr>
          <w:rStyle w:val="FootnoteReference"/>
        </w:rPr>
        <w:footnoteRef/>
      </w:r>
      <w:r>
        <w:tab/>
        <w:t xml:space="preserve">ОВ L 1, 3.1.1994 г., стр. 3. </w:t>
      </w:r>
    </w:p>
  </w:footnote>
  <w:footnote w:id="4">
    <w:p>
      <w:pPr>
        <w:pStyle w:val="FootnoteText"/>
        <w:rPr>
          <w:lang w:val="pl-PL" w:eastAsia="de-DE"/>
        </w:rPr>
      </w:pPr>
      <w:r>
        <w:rPr>
          <w:rStyle w:val="FootnoteReference"/>
        </w:rPr>
        <w:footnoteRef/>
      </w:r>
      <w:r>
        <w:tab/>
        <w:t>Директива 2014/17/ЕС на Европейския парламент и на Съвета от 4 февруари 2014 г. относно договорите за кредити за жилищни недвижими имоти за потребители и за изменение на директиви 2008/48/ЕО и 2013/36/ЕС и Регламент (ЕС) № 1093/2010 (ОВ L 60, 28.2.2014 г., стр.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760B0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DF04A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1A0456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8CC2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47A84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2A34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104BB7E"/>
    <w:lvl w:ilvl="0">
      <w:start w:val="1"/>
      <w:numFmt w:val="decimal"/>
      <w:pStyle w:val="ListNumber"/>
      <w:lvlText w:val="%1."/>
      <w:lvlJc w:val="left"/>
      <w:pPr>
        <w:tabs>
          <w:tab w:val="num" w:pos="360"/>
        </w:tabs>
        <w:ind w:left="360" w:hanging="360"/>
      </w:pPr>
    </w:lvl>
  </w:abstractNum>
  <w:abstractNum w:abstractNumId="7">
    <w:nsid w:val="FFFFFF89"/>
    <w:multiLevelType w:val="singleLevel"/>
    <w:tmpl w:val="A53447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8 13:56:5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D44D473-BB83-4F4B-A50D-2DFA913B1BE3"/>
    <w:docVar w:name="LW_COVERPAGE_TYPE" w:val="1"/>
    <w:docVar w:name="LW_CROSSREFERENCE" w:val="&lt;UNUSED&gt;"/>
    <w:docVar w:name="LW_DocType" w:val="COM"/>
    <w:docVar w:name="LW_EMISSION" w:val="31.1.2019"/>
    <w:docVar w:name="LW_EMISSION_ISODATE" w:val="2019-01-3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23"/>
    <w:docVar w:name="LW_REF.II.NEW.CP_YEAR" w:val="2019"/>
    <w:docVar w:name="LW_REF.INST.NEW" w:val="COM"/>
    <w:docVar w:name="LW_REF.INST.NEW_ADOPTED" w:val="final"/>
    <w:docVar w:name="LW_REF.INST.NEW_TEXT" w:val="(2019) 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IX (\u1060?\u1080?\u1085?\u1072?\u1085?\u1089?\u1086?\u1074?\u1080? \u1091?\u1089?\u1083?\u1091?\u1075?\u1080?) \u1080? \u1087?\u1088?\u1080?\u1083?\u1086?\u1078?\u1077?\u1085?\u1080?\u1077? XIX (\u1047?\u1072?\u1097?\u1080?\u1090?\u1072? \u1085?\u1072? \u1087?\u1086?\u1090?\u1088?\u1077?\u1073?\u1080?\u1090?\u1077?\u1083?\u1080?\u1090?\u1077?) \u1082?\u1098?\u1084? \u1057?\u1087?\u1086?\u1088?\u1072?\u1079?\u1091?\u1084?\u1077?\u1085?\u1080?\u1077?\u1090?\u1086? \u1079?\u1072? \u1045?\u1048?\u105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11CBE-8EB8-49A7-8432-3A9E1CCD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1457</Words>
  <Characters>8002</Characters>
  <Application>Microsoft Office Word</Application>
  <DocSecurity>0</DocSecurity>
  <Lines>163</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dcterms:created xsi:type="dcterms:W3CDTF">2019-01-15T16:02:00Z</dcterms:created>
  <dcterms:modified xsi:type="dcterms:W3CDTF">2019-01-28T12:56:00Z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