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8FD690B-4C68-48C5-855A-A9D81E887E07"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Typedudocument"/>
        <w:rPr>
          <w:noProof/>
        </w:rPr>
      </w:pPr>
      <w:r>
        <w:rPr>
          <w:noProof/>
        </w:rPr>
        <w:t xml:space="preserve">DECISION OF THE EEA JOINT COMMITTEE </w:t>
      </w:r>
      <w:r>
        <w:rPr>
          <w:noProof/>
        </w:rPr>
        <w:br/>
        <w:t xml:space="preserve">No </w:t>
      </w:r>
    </w:p>
    <w:p>
      <w:pPr>
        <w:pStyle w:val="Datedadoption"/>
        <w:rPr>
          <w:noProof/>
        </w:rPr>
      </w:pPr>
      <w:r>
        <w:rPr>
          <w:noProof/>
        </w:rPr>
        <w:t xml:space="preserve">of </w:t>
      </w:r>
    </w:p>
    <w:p>
      <w:pPr>
        <w:pStyle w:val="Titreobjet"/>
        <w:rPr>
          <w:noProof/>
        </w:rPr>
      </w:pPr>
      <w:r>
        <w:rPr>
          <w:noProof/>
        </w:rPr>
        <w:t>amending Annex IX (Financial services) and Annex XIX (Consumer protection)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rPr>
      </w:pPr>
      <w:r>
        <w:rPr>
          <w:noProof/>
        </w:rPr>
        <w:t>Directive 2014/17/EU of the European Parliament and of the Council of 4 February 2014 on credit agreements for consumers relating to residential immovable property and amending Directives 2008/48/EC and 2013/36/EU and Regulation (EU) No 1093/2010</w:t>
      </w:r>
      <w:r>
        <w:rPr>
          <w:rStyle w:val="FootnoteReference"/>
          <w:noProof/>
        </w:rPr>
        <w:footnoteReference w:id="1"/>
      </w:r>
      <w:r>
        <w:rPr>
          <w:noProof/>
        </w:rPr>
        <w:t>, as corrected by OJ L 246, 23.9.2015, p. 11, is to be incorporated into the EEA Agreement.</w:t>
      </w:r>
    </w:p>
    <w:p>
      <w:pPr>
        <w:pStyle w:val="Considrant"/>
        <w:numPr>
          <w:ilvl w:val="0"/>
          <w:numId w:val="1"/>
        </w:numPr>
        <w:rPr>
          <w:noProof/>
        </w:rPr>
      </w:pPr>
      <w:r>
        <w:rPr>
          <w:noProof/>
        </w:rPr>
        <w:t>Annexes IX and XIX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following indent is added in point 31g (Regulation (EU) No 1093/2010 of the European Parliament and of the Council):</w:t>
      </w:r>
    </w:p>
    <w:p>
      <w:pPr>
        <w:pStyle w:val="Point1"/>
        <w:rPr>
          <w:noProof/>
        </w:rPr>
      </w:pPr>
      <w:r>
        <w:rPr>
          <w:noProof/>
        </w:rPr>
        <w:t>‘-</w:t>
      </w:r>
      <w:r>
        <w:rPr>
          <w:noProof/>
        </w:rPr>
        <w:tab/>
      </w:r>
      <w:r>
        <w:rPr>
          <w:b/>
          <w:noProof/>
        </w:rPr>
        <w:t>32014 L 0017</w:t>
      </w:r>
      <w:r>
        <w:rPr>
          <w:noProof/>
        </w:rPr>
        <w:t>: Directive 2014/17/EU of the European Parliament and of the Council of 4 February 2014 (OJ L 60, 28.2.2014, p. 34), as corrected by OJ L 246, 23.9.2015, p. 11.’</w:t>
      </w:r>
    </w:p>
    <w:p>
      <w:pPr>
        <w:pStyle w:val="Point0"/>
        <w:rPr>
          <w:noProof/>
        </w:rPr>
      </w:pPr>
      <w:r>
        <w:rPr>
          <w:noProof/>
        </w:rPr>
        <w:t>2.</w:t>
      </w:r>
      <w:r>
        <w:rPr>
          <w:noProof/>
        </w:rPr>
        <w:tab/>
        <w:t>The following point is inserted after point 31i (Regulation (EU) No 1095/2010 of the European Parliament and of the Council):</w:t>
      </w:r>
    </w:p>
    <w:p>
      <w:pPr>
        <w:pStyle w:val="Point1"/>
        <w:rPr>
          <w:noProof/>
        </w:rPr>
      </w:pPr>
      <w:r>
        <w:rPr>
          <w:noProof/>
        </w:rPr>
        <w:t>‘31j.</w:t>
      </w:r>
      <w:r>
        <w:rPr>
          <w:noProof/>
        </w:rPr>
        <w:tab/>
      </w:r>
      <w:r>
        <w:rPr>
          <w:b/>
          <w:noProof/>
        </w:rPr>
        <w:t>32014 L 0017</w:t>
      </w:r>
      <w:r>
        <w:rPr>
          <w:noProof/>
        </w:rPr>
        <w:t>: Directive 2014/17/EU of the European Parliament and of the Council of 4 February 2014 on credit agreements for consumers relating to residential immovable property and amending Directives 2008/48/EC and 2013/36/EU and Regulation (EU) No 1093/2010 (OJ L 60, 28.2.2014, p. 34), as corrected by OJ L 246, 23.9.2015, p. 11.</w:t>
      </w:r>
    </w:p>
    <w:p>
      <w:pPr>
        <w:pStyle w:val="Text2"/>
        <w:ind w:left="1418"/>
        <w:rPr>
          <w:noProof/>
        </w:rPr>
      </w:pPr>
      <w:r>
        <w:rPr>
          <w:noProof/>
        </w:rPr>
        <w:t>The provisions of the Directive shall, for the purposes of this Agreement, be read with the following adaptations:</w:t>
      </w:r>
    </w:p>
    <w:p>
      <w:pPr>
        <w:pStyle w:val="Point2"/>
        <w:rPr>
          <w:noProof/>
        </w:rPr>
      </w:pPr>
      <w:r>
        <w:rPr>
          <w:noProof/>
        </w:rPr>
        <w:t>(a)</w:t>
      </w:r>
      <w:r>
        <w:rPr>
          <w:noProof/>
        </w:rPr>
        <w:tab/>
        <w:t xml:space="preserve">Notwithstanding the provisions of Protocol 1 to this Agreement, and unless otherwise provided for in this Agreement, the terms “Member </w:t>
      </w:r>
      <w:r>
        <w:rPr>
          <w:noProof/>
        </w:rPr>
        <w:lastRenderedPageBreak/>
        <w:t>State(s)” and “competent authorities” shall be understood to include, in addition to their meaning in the Directive, the EFTA States and their competent authorities, respectively.</w:t>
      </w:r>
    </w:p>
    <w:p>
      <w:pPr>
        <w:pStyle w:val="Point2"/>
        <w:rPr>
          <w:noProof/>
        </w:rPr>
      </w:pPr>
      <w:r>
        <w:rPr>
          <w:noProof/>
        </w:rPr>
        <w:t>(b)</w:t>
      </w:r>
      <w:r>
        <w:rPr>
          <w:noProof/>
        </w:rPr>
        <w:tab/>
        <w:t>In point (b) of Article 5(3), the words “or, as the case may be, the EFTA Surveillance Authority” shall be inserted after the words “the European Supervisory Authority (European Banking Authority) (EBA)”.</w:t>
      </w:r>
    </w:p>
    <w:p>
      <w:pPr>
        <w:pStyle w:val="Point2"/>
        <w:rPr>
          <w:noProof/>
        </w:rPr>
      </w:pPr>
      <w:r>
        <w:rPr>
          <w:noProof/>
        </w:rPr>
        <w:t>(c)</w:t>
      </w:r>
      <w:r>
        <w:rPr>
          <w:noProof/>
        </w:rPr>
        <w:tab/>
        <w:t>In Articles 12(3) and 27(3), as regards the EFTA States, the words “20 March 2014” shall read “the date of entry into force of Decision of the EEA Joint Committee No …/… of … [this decision]”.</w:t>
      </w:r>
    </w:p>
    <w:p>
      <w:pPr>
        <w:pStyle w:val="Point2"/>
        <w:rPr>
          <w:noProof/>
        </w:rPr>
      </w:pPr>
      <w:r>
        <w:rPr>
          <w:noProof/>
        </w:rPr>
        <w:t>(d)</w:t>
      </w:r>
      <w:r>
        <w:rPr>
          <w:noProof/>
        </w:rPr>
        <w:tab/>
        <w:t>In Article 14(5), as regards the EFTA States, the words “20 March 2014” shall read “the date of entry into force of Decision of the EEA Joint Committee No …/… of … [this decision]” and the words “until 21 March 2019” shall read “for five years thereafter”.</w:t>
      </w:r>
    </w:p>
    <w:p>
      <w:pPr>
        <w:pStyle w:val="Point2"/>
        <w:rPr>
          <w:noProof/>
        </w:rPr>
      </w:pPr>
      <w:r>
        <w:rPr>
          <w:noProof/>
        </w:rPr>
        <w:t>(e)</w:t>
      </w:r>
      <w:r>
        <w:rPr>
          <w:noProof/>
        </w:rPr>
        <w:tab/>
        <w:t>In Article 26(2), the following subparagraph is added:</w:t>
      </w:r>
    </w:p>
    <w:p>
      <w:pPr>
        <w:pStyle w:val="Point2"/>
        <w:rPr>
          <w:noProof/>
        </w:rPr>
      </w:pPr>
      <w:r>
        <w:rPr>
          <w:noProof/>
        </w:rPr>
        <w:tab/>
        <w:t>“Liechtenstein is exempted from the statistical monitoring required by paragraph 2 of Article 26.”</w:t>
      </w:r>
    </w:p>
    <w:p>
      <w:pPr>
        <w:pStyle w:val="Point2"/>
        <w:rPr>
          <w:noProof/>
        </w:rPr>
      </w:pPr>
      <w:r>
        <w:rPr>
          <w:noProof/>
        </w:rPr>
        <w:t>(f)</w:t>
      </w:r>
      <w:r>
        <w:rPr>
          <w:noProof/>
        </w:rPr>
        <w:tab/>
        <w:t>In the fifth subparagraph of paragraph 2, and in point (b) of paragraph 4 of Article 34, the words “EBA may act” shall be replaced by the words “EBA or, as the case may be, the EFTA Surveillance Authority may act”.</w:t>
      </w:r>
    </w:p>
    <w:p>
      <w:pPr>
        <w:pStyle w:val="Point2"/>
        <w:rPr>
          <w:noProof/>
        </w:rPr>
      </w:pPr>
      <w:r>
        <w:rPr>
          <w:noProof/>
        </w:rPr>
        <w:t>(g)</w:t>
      </w:r>
      <w:r>
        <w:rPr>
          <w:noProof/>
        </w:rPr>
        <w:tab/>
        <w:t>In Article 37, the words “EBA may act in accordance with the powers conferred on it by that Article and any binding decision made by EBA” shall be replaced by the words “EBA or, as the case may be, the EFTA Surveillance Authority may act in accordance with the powers conferred on it by that Article and any binding decision made by EBA or, as the case may be, the EFTA Surveillance Authority”.</w:t>
      </w:r>
    </w:p>
    <w:p>
      <w:pPr>
        <w:pStyle w:val="Point2"/>
        <w:rPr>
          <w:noProof/>
        </w:rPr>
      </w:pPr>
      <w:r>
        <w:rPr>
          <w:noProof/>
        </w:rPr>
        <w:t>(h)</w:t>
      </w:r>
      <w:r>
        <w:rPr>
          <w:noProof/>
        </w:rPr>
        <w:tab/>
        <w:t>In Article 43, as regards the EFTA States, the words “21 March 2016” and “20 March 2014” shall read “the date of entry into force of Decision of the EEA Joint Committee No …/… of … [this decision]” and the words “21 March 2017” shall read “one year after the date of entry into force of Decision of the EEA Joint Committee No …/… of … [this decision]”.’</w:t>
      </w:r>
    </w:p>
    <w:p>
      <w:pPr>
        <w:pStyle w:val="Titrearticle"/>
        <w:rPr>
          <w:noProof/>
        </w:rPr>
      </w:pPr>
      <w:r>
        <w:rPr>
          <w:noProof/>
        </w:rPr>
        <w:t>Article 2</w:t>
      </w:r>
    </w:p>
    <w:p>
      <w:pPr>
        <w:rPr>
          <w:noProof/>
        </w:rPr>
      </w:pPr>
      <w:r>
        <w:rPr>
          <w:noProof/>
        </w:rPr>
        <w:t>The following indent is added in point 7h (Directive 2008/48/EC of the European Parliament and of the Council) of Annex XIX to the EEA Agreement:</w:t>
      </w:r>
    </w:p>
    <w:p>
      <w:pPr>
        <w:pStyle w:val="Point0"/>
        <w:rPr>
          <w:noProof/>
        </w:rPr>
      </w:pPr>
      <w:r>
        <w:rPr>
          <w:noProof/>
        </w:rPr>
        <w:t>‘-</w:t>
      </w:r>
      <w:r>
        <w:rPr>
          <w:noProof/>
        </w:rPr>
        <w:tab/>
      </w:r>
      <w:r>
        <w:rPr>
          <w:b/>
          <w:noProof/>
        </w:rPr>
        <w:t>32014 L 0017</w:t>
      </w:r>
      <w:r>
        <w:rPr>
          <w:noProof/>
        </w:rPr>
        <w:t>: Directive 2014/17/EU of the European Parliament and of the Council of 4 February 2014 (OJ L 60, 28.2.2014, p. 34), as corrected by OJ L 246, 23.9.2015, p. 11.’</w:t>
      </w:r>
    </w:p>
    <w:p>
      <w:pPr>
        <w:pStyle w:val="Titrearticle"/>
        <w:rPr>
          <w:noProof/>
        </w:rPr>
      </w:pPr>
      <w:r>
        <w:rPr>
          <w:noProof/>
        </w:rPr>
        <w:t>Article 3</w:t>
      </w:r>
    </w:p>
    <w:p>
      <w:pPr>
        <w:rPr>
          <w:noProof/>
        </w:rPr>
      </w:pPr>
      <w:r>
        <w:rPr>
          <w:noProof/>
        </w:rPr>
        <w:t xml:space="preserve">The text of Directive 2014/17/EU, as corrected by OJ L 246, 23.9.2015, p. 11,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lastRenderedPageBreak/>
        <w:t>Article 4</w:t>
      </w:r>
    </w:p>
    <w:p>
      <w:pPr>
        <w:rPr>
          <w:noProof/>
        </w:rPr>
      </w:pPr>
      <w:r>
        <w:rPr>
          <w:noProof/>
        </w:rPr>
        <w:t>This Decision shall enter into force on […], provided that all the notifications under Article 103(1) of the EEA Agreement have been made</w:t>
      </w:r>
      <w:r>
        <w:rPr>
          <w:rStyle w:val="FootnoteReference"/>
          <w:noProof/>
        </w:rPr>
        <w:footnoteReference w:customMarkFollows="1" w:id="2"/>
        <w:sym w:font="Symbol" w:char="F02A"/>
      </w:r>
      <w:r>
        <w:rPr>
          <w:noProof/>
        </w:rPr>
        <w:t>.</w:t>
      </w:r>
    </w:p>
    <w:p>
      <w:pPr>
        <w:pStyle w:val="Titrearticle"/>
        <w:rPr>
          <w:noProof/>
        </w:rPr>
      </w:pPr>
      <w:r>
        <w:rPr>
          <w:noProof/>
        </w:rPr>
        <w:t>Article 5</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br/>
      </w:r>
      <w:r>
        <w:rPr>
          <w:noProof/>
        </w:rPr>
        <w:tab/>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OJ L 60, 28.2.2014, p. 34.</w:t>
      </w:r>
    </w:p>
  </w:footnote>
  <w:footnote w:id="2">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C861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A4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D0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16C9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48F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3AA7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786E00"/>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68D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7:2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8FD690B-4C68-48C5-855A-A9D81E887E07"/>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_x000b_within the EEA Joint Committee concerning an amendment to Annex IX (Financial services) and Annex XIX (Consumer protection) to the EEA Agreement"/>
    <w:docVar w:name="LW_OBJETACTEPRINCIPAL.CP" w:val="on the position to be adopted, on behalf of the European Union,_x000b_within the EEA Joint Committee concerning an amendment to Annex IX (Financial services) and Annex XIX (Consumer protection) to the EEA Agreement"/>
    <w:docVar w:name="LW_PART_NBR" w:val="1"/>
    <w:docVar w:name="LW_PART_NBR_TOTAL" w:val="1"/>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821</Words>
  <Characters>3983</Characters>
  <Application>Microsoft Office Word</Application>
  <DocSecurity>0</DocSecurity>
  <Lines>94</Lines>
  <Paragraphs>45</Paragraphs>
  <ScaleCrop>false</ScaleCrop>
  <Company>EEAS</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2019-01-14T10:38:00Z</dcterms:created>
  <dcterms:modified xsi:type="dcterms:W3CDTF">2019-01-28T12:57:00Z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