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63F7CA-53C5-4236-A9A7-AA69EA28FC71" style="width:451.25pt;height:409.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Point0"/>
        <w:rPr>
          <w:b/>
          <w:noProof/>
        </w:rPr>
      </w:pPr>
      <w:r>
        <w:rPr>
          <w:b/>
          <w:noProof/>
          <w:color w:val="000000"/>
          <w:u w:color="000000"/>
          <w:bdr w:val="nil"/>
          <w:lang w:val="en-US" w:eastAsia="en-GB"/>
        </w:rPr>
        <w:t>•</w:t>
      </w:r>
      <w:r>
        <w:rPr>
          <w:b/>
          <w:noProof/>
          <w:color w:val="000000"/>
          <w:u w:color="000000"/>
          <w:bdr w:val="nil"/>
          <w:lang w:val="en-US" w:eastAsia="en-GB"/>
        </w:rPr>
        <w:tab/>
      </w:r>
      <w:r>
        <w:rPr>
          <w:b/>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Annex IX (Financial services) and Annex XIX (Consumer protection) to the EEA Agreement in order to incorporate Directive 2014/17/EU of the European Parliament and of the Council of 4 February 2014 on credit agreements for consumers relating to residential immovable property.</w:t>
      </w:r>
    </w:p>
    <w:p>
      <w:pPr>
        <w:pStyle w:val="Point0"/>
        <w:rPr>
          <w:b/>
          <w:noProof/>
          <w:color w:val="000000"/>
          <w:u w:color="000000"/>
          <w:bdr w:val="nil"/>
          <w:lang w:val="en-US" w:eastAsia="en-GB"/>
        </w:rPr>
      </w:pPr>
      <w:r>
        <w:rPr>
          <w:b/>
          <w:noProof/>
          <w:color w:val="000000"/>
          <w:u w:color="000000"/>
          <w:bdr w:val="nil"/>
          <w:lang w:val="en-US" w:eastAsia="en-GB"/>
        </w:rPr>
        <w:t>•</w:t>
      </w:r>
      <w:r>
        <w:rPr>
          <w:b/>
          <w:noProof/>
          <w:color w:val="000000"/>
          <w:u w:color="000000"/>
          <w:bdr w:val="nil"/>
          <w:lang w:val="en-US" w:eastAsia="en-GB"/>
        </w:rPr>
        <w:tab/>
        <w:t>Consistency with existing policy provisions in the policy area</w:t>
      </w:r>
    </w:p>
    <w:p>
      <w:pPr>
        <w:pBdr>
          <w:top w:val="nil"/>
          <w:left w:val="nil"/>
          <w:bottom w:val="nil"/>
          <w:right w:val="nil"/>
          <w:between w:val="nil"/>
          <w:bar w:val="nil"/>
        </w:pBdr>
        <w:spacing w:before="0" w:after="240"/>
        <w:rPr>
          <w:noProof/>
        </w:rPr>
      </w:pPr>
      <w:r>
        <w:rPr>
          <w:noProof/>
        </w:rPr>
        <w:t xml:space="preserve">The annexed draft Joint Committee Decision extends the already existing EU policy to the EEA EFTA States (Norway, Iceland and Liechtenstein). </w:t>
      </w:r>
    </w:p>
    <w:p>
      <w:pPr>
        <w:pStyle w:val="Point0"/>
        <w:rPr>
          <w:b/>
          <w:noProof/>
          <w:color w:val="000000"/>
          <w:u w:color="000000"/>
          <w:bdr w:val="nil"/>
          <w:lang w:val="en-US" w:eastAsia="en-GB"/>
        </w:rPr>
      </w:pPr>
      <w:r>
        <w:rPr>
          <w:b/>
          <w:noProof/>
          <w:color w:val="000000"/>
          <w:u w:color="000000"/>
          <w:bdr w:val="nil"/>
          <w:lang w:val="en-US" w:eastAsia="en-GB"/>
        </w:rPr>
        <w:t>•</w:t>
      </w:r>
      <w:r>
        <w:rPr>
          <w:b/>
          <w:noProof/>
          <w:color w:val="000000"/>
          <w:u w:color="000000"/>
          <w:bdr w:val="nil"/>
          <w:lang w:val="en-US" w:eastAsia="en-GB"/>
        </w:rPr>
        <w:tab/>
        <w:t>Consistency with other Union policies</w:t>
      </w:r>
    </w:p>
    <w:p>
      <w:pPr>
        <w:rPr>
          <w:noProof/>
        </w:rPr>
      </w:pPr>
      <w:r>
        <w:rPr>
          <w:noProof/>
        </w:rPr>
        <w:t xml:space="preserve">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t>2.</w:t>
      </w:r>
      <w:r>
        <w:tab/>
      </w:r>
      <w:r>
        <w:rPr>
          <w:noProof/>
        </w:rPr>
        <w:t>LEGAL BASIS, SUBSIDIARITY AND PROPORTIONALITY</w:t>
      </w:r>
    </w:p>
    <w:p>
      <w:pPr>
        <w:pStyle w:val="Point0"/>
        <w:rPr>
          <w:b/>
          <w:noProof/>
          <w:color w:val="000000"/>
          <w:u w:color="000000"/>
          <w:bdr w:val="nil"/>
          <w:lang w:val="en-US" w:eastAsia="en-GB"/>
        </w:rPr>
      </w:pPr>
      <w:r>
        <w:rPr>
          <w:b/>
          <w:noProof/>
          <w:color w:val="000000"/>
          <w:u w:color="000000"/>
          <w:bdr w:val="nil"/>
          <w:lang w:val="en-US" w:eastAsia="en-GB"/>
        </w:rPr>
        <w:t>•</w:t>
      </w:r>
      <w:r>
        <w:rPr>
          <w:b/>
          <w:noProof/>
          <w:color w:val="000000"/>
          <w:u w:color="000000"/>
          <w:bdr w:val="nil"/>
          <w:lang w:val="en-US" w:eastAsia="en-GB"/>
        </w:rPr>
        <w:tab/>
        <w:t>Legal basis</w:t>
      </w:r>
    </w:p>
    <w:p>
      <w:pPr>
        <w:rPr>
          <w:noProof/>
        </w:rPr>
      </w:pPr>
      <w:r>
        <w:rPr>
          <w:noProof/>
        </w:rPr>
        <w:t>The legislation to be incorporated into the EEA Agreement is based on Article 114 of the Treaty on the Functioning of the European Union.</w:t>
      </w:r>
    </w:p>
    <w:p>
      <w:pPr>
        <w:rPr>
          <w:noProof/>
        </w:rPr>
      </w:pPr>
      <w:r>
        <w:rPr>
          <w:noProof/>
        </w:rPr>
        <w:t>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rPr>
          <w:noProof/>
        </w:rPr>
      </w:pPr>
      <w:r>
        <w:rPr>
          <w:noProof/>
        </w:rPr>
        <w:t>The Commission in cooperation with the EEAS submits the draft Decision of the EEA Joint Committee for adoption by the Council as the Union’s position. The Commission would hope to be able to present it in the EEA Joint Committee at the earliest possible opportunity.</w:t>
      </w:r>
    </w:p>
    <w:p>
      <w:pPr>
        <w:pStyle w:val="Point0"/>
        <w:rPr>
          <w:b/>
          <w:noProof/>
          <w:color w:val="000000"/>
          <w:u w:color="000000"/>
          <w:bdr w:val="nil"/>
          <w:lang w:val="en-US" w:eastAsia="en-GB"/>
        </w:rPr>
      </w:pPr>
      <w:r>
        <w:rPr>
          <w:b/>
          <w:noProof/>
          <w:color w:val="000000"/>
          <w:u w:color="000000"/>
          <w:bdr w:val="nil"/>
          <w:lang w:val="en-US" w:eastAsia="en-GB"/>
        </w:rPr>
        <w:t>•</w:t>
      </w:r>
      <w:r>
        <w:rPr>
          <w:b/>
          <w:noProof/>
          <w:color w:val="000000"/>
          <w:u w:color="000000"/>
          <w:bdr w:val="nil"/>
          <w:lang w:val="en-US" w:eastAsia="en-GB"/>
        </w:rPr>
        <w:tab/>
        <w:t xml:space="preserve">Subsidiarity (for non-exclusive competence) </w:t>
      </w:r>
    </w:p>
    <w:p>
      <w:pPr>
        <w:rPr>
          <w:noProof/>
        </w:rPr>
      </w:pPr>
      <w:r>
        <w:rPr>
          <w:noProof/>
        </w:rPr>
        <w:t xml:space="preserve">The proposal complies with the subsidiarity principle for the following reason. </w:t>
      </w:r>
    </w:p>
    <w:p>
      <w:pPr>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Point0"/>
        <w:rPr>
          <w:b/>
          <w:noProof/>
          <w:color w:val="000000"/>
          <w:u w:color="000000"/>
          <w:bdr w:val="nil"/>
          <w:lang w:val="en-US" w:eastAsia="en-GB"/>
        </w:rPr>
      </w:pPr>
      <w:r>
        <w:rPr>
          <w:b/>
          <w:noProof/>
          <w:color w:val="000000"/>
          <w:u w:color="000000"/>
          <w:bdr w:val="nil"/>
          <w:lang w:val="en-US" w:eastAsia="en-GB"/>
        </w:rPr>
        <w:t>•</w:t>
      </w:r>
      <w:r>
        <w:rPr>
          <w:b/>
          <w:noProof/>
          <w:color w:val="000000"/>
          <w:u w:color="000000"/>
          <w:bdr w:val="nil"/>
          <w:lang w:val="en-US" w:eastAsia="en-GB"/>
        </w:rPr>
        <w:tab/>
        <w:t>Proportionality</w:t>
      </w:r>
    </w:p>
    <w:p>
      <w:pPr>
        <w:rPr>
          <w:noProof/>
        </w:rPr>
      </w:pPr>
      <w:r>
        <w:rPr>
          <w:noProof/>
        </w:rPr>
        <w:t>In accordance with the principle of proportionality, this proposal does not go beyond what is necessary in order to achieve its objective.</w:t>
      </w:r>
    </w:p>
    <w:p>
      <w:pPr>
        <w:pStyle w:val="Point0"/>
        <w:rPr>
          <w:b/>
          <w:noProof/>
          <w:color w:val="000000"/>
          <w:u w:color="000000"/>
          <w:bdr w:val="nil"/>
          <w:lang w:val="en-US" w:eastAsia="en-GB"/>
        </w:rPr>
      </w:pPr>
      <w:r>
        <w:rPr>
          <w:b/>
          <w:noProof/>
          <w:color w:val="000000"/>
          <w:u w:color="000000"/>
          <w:bdr w:val="nil"/>
          <w:lang w:val="en-US" w:eastAsia="en-GB"/>
        </w:rPr>
        <w:lastRenderedPageBreak/>
        <w:t>•</w:t>
      </w:r>
      <w:r>
        <w:rPr>
          <w:b/>
          <w:noProof/>
          <w:color w:val="000000"/>
          <w:u w:color="000000"/>
          <w:bdr w:val="nil"/>
          <w:lang w:val="en-US" w:eastAsia="en-GB"/>
        </w:rPr>
        <w:tab/>
        <w:t>Choice of the instrument</w:t>
      </w:r>
    </w:p>
    <w:p>
      <w:pPr>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t>3.</w:t>
      </w:r>
      <w:r>
        <w:tab/>
      </w:r>
      <w:r>
        <w:rPr>
          <w:noProof/>
        </w:rPr>
        <w:t>RESULTS OF EX-POST EVALUATIONS, STAKEHOLDER CONSULTATIONS AND IMPACT ASSESSMENTS</w:t>
      </w:r>
    </w:p>
    <w:p>
      <w:pPr>
        <w:rPr>
          <w:noProof/>
        </w:rPr>
      </w:pPr>
      <w:r>
        <w:rPr>
          <w:noProof/>
        </w:rPr>
        <w:t>Not applicable.</w:t>
      </w:r>
    </w:p>
    <w:p>
      <w:pPr>
        <w:pStyle w:val="ManualHeading1"/>
        <w:rPr>
          <w:noProof/>
        </w:rPr>
      </w:pPr>
      <w:r>
        <w:t>4.</w:t>
      </w:r>
      <w:r>
        <w:tab/>
      </w:r>
      <w:r>
        <w:rPr>
          <w:noProof/>
        </w:rPr>
        <w:t>BUDGETARY IMPLICATIONS</w:t>
      </w:r>
    </w:p>
    <w:p>
      <w:pPr>
        <w:rPr>
          <w:noProof/>
        </w:rPr>
      </w:pPr>
      <w:r>
        <w:rPr>
          <w:noProof/>
        </w:rPr>
        <w:t>There are no budgetary implications expected as a result of the incorporation of Directive 2014/17/EU into the EEA Agreement.</w:t>
      </w:r>
    </w:p>
    <w:p>
      <w:pPr>
        <w:pStyle w:val="ManualHeading1"/>
        <w:rPr>
          <w:noProof/>
        </w:rPr>
      </w:pPr>
      <w:r>
        <w:t>5.</w:t>
      </w:r>
      <w:r>
        <w:tab/>
      </w:r>
      <w:r>
        <w:rPr>
          <w:noProof/>
        </w:rPr>
        <w:t>OTHER ELEMENTS</w:t>
      </w:r>
    </w:p>
    <w:p>
      <w:pPr>
        <w:rPr>
          <w:b/>
          <w:noProof/>
          <w:u w:val="single"/>
        </w:rPr>
      </w:pPr>
      <w:r>
        <w:rPr>
          <w:b/>
          <w:noProof/>
          <w:u w:val="single"/>
        </w:rPr>
        <w:t xml:space="preserve">The main adaptations requested by the EFTA side </w:t>
      </w:r>
    </w:p>
    <w:p>
      <w:pPr>
        <w:rPr>
          <w:noProof/>
        </w:rPr>
      </w:pPr>
      <w:r>
        <w:rPr>
          <w:noProof/>
        </w:rPr>
        <w:t>Justification and proposed solution:</w:t>
      </w:r>
    </w:p>
    <w:p>
      <w:pPr>
        <w:rPr>
          <w:noProof/>
          <w:u w:val="single"/>
        </w:rPr>
      </w:pPr>
      <w:r>
        <w:rPr>
          <w:noProof/>
          <w:u w:val="single"/>
        </w:rPr>
        <w:t>Adaptation to Article 5(3)(b) – adaption (b)</w:t>
      </w:r>
    </w:p>
    <w:p>
      <w:pPr>
        <w:rPr>
          <w:noProof/>
        </w:rPr>
      </w:pPr>
      <w:r>
        <w:rPr>
          <w:noProof/>
        </w:rPr>
        <w:t>As a consequence of the division of powers between the European Banking Authority (EBA) and the EFTA Surveillance Authority an adaptation to include the EFTA Surveillance Authority in the list of authorities with which national authorities shall cooperate has been introduced.</w:t>
      </w:r>
    </w:p>
    <w:p>
      <w:pPr>
        <w:rPr>
          <w:noProof/>
          <w:u w:val="single"/>
        </w:rPr>
      </w:pPr>
      <w:r>
        <w:rPr>
          <w:noProof/>
          <w:u w:val="single"/>
        </w:rPr>
        <w:t>Adaptation to Articles 12(3) and 27(3) – adaptation (c)</w:t>
      </w:r>
    </w:p>
    <w:p>
      <w:pPr>
        <w:rPr>
          <w:noProof/>
        </w:rPr>
      </w:pPr>
      <w:r>
        <w:rPr>
          <w:noProof/>
        </w:rPr>
        <w:t xml:space="preserve">In line with Article 7 EEA, only acts that have been incorporated into the EEA Agreement are binding upon the EEA EFTA States. Certain obligations contained in the Directive may hence only apply as from the date of entry into force of the Joint Committee Decision incorporating it into the EEA Agreement. Adaptation (c) ensures that the relevant date for the application of Articles 12(3) and 27(3) is the date of entry into force of the Directive in the EEA. </w:t>
      </w:r>
    </w:p>
    <w:p>
      <w:pPr>
        <w:rPr>
          <w:noProof/>
          <w:lang w:val="fr-BE"/>
        </w:rPr>
      </w:pPr>
      <w:r>
        <w:rPr>
          <w:noProof/>
          <w:u w:val="single"/>
          <w:lang w:val="fr-BE"/>
        </w:rPr>
        <w:t>Adaptation to Article 14(5) – adaptation (d)</w:t>
      </w:r>
    </w:p>
    <w:p>
      <w:pPr>
        <w:rPr>
          <w:noProof/>
        </w:rPr>
      </w:pPr>
      <w:r>
        <w:rPr>
          <w:noProof/>
        </w:rPr>
        <w:t xml:space="preserve">In line with Article 7 EEA, only acts that have been incorporated into the EEA Agreement are binding upon the EEA EFTA States. Certain obligations contained in the Directive may hence only apply as from the date of entry into force of the Joint Committee Decision incorporating it into the EEA Agreement. Adaptation (d) ensures that the transitional periods regarding existing national rules in place prior to the entry into force of the Directive, shall, in an EEA context, be understood to apply in relation to the entry into force of the Directive in the EEA. </w:t>
      </w:r>
    </w:p>
    <w:p>
      <w:pPr>
        <w:rPr>
          <w:noProof/>
          <w:lang w:val="fr-BE"/>
        </w:rPr>
      </w:pPr>
      <w:r>
        <w:rPr>
          <w:noProof/>
          <w:u w:val="single"/>
          <w:lang w:val="fr-FR"/>
        </w:rPr>
        <w:t>Adaptation to Article 26(2) – adaptation (e)</w:t>
      </w:r>
    </w:p>
    <w:p>
      <w:pPr>
        <w:rPr>
          <w:noProof/>
        </w:rPr>
      </w:pPr>
      <w:r>
        <w:rPr>
          <w:noProof/>
        </w:rPr>
        <w:t>In Liechtenstein, only 50 to 100 real estate transactions take place every year according to the figures from the Liechtenstein tax administration. Much more real estate transactions would be needed for reliable and meaningful statistical results on the residential property market as provided for in Article 26(2) of the Directive.</w:t>
      </w:r>
    </w:p>
    <w:p>
      <w:pPr>
        <w:rPr>
          <w:noProof/>
        </w:rPr>
      </w:pPr>
      <w:r>
        <w:rPr>
          <w:noProof/>
        </w:rPr>
        <w:t>In the given situation the statistical monitoring would contradict the following Principles of the European Statistics Code of Practice:</w:t>
      </w:r>
    </w:p>
    <w:p>
      <w:pPr>
        <w:pStyle w:val="Point0"/>
        <w:rPr>
          <w:noProof/>
        </w:rPr>
      </w:pPr>
      <w:r>
        <w:rPr>
          <w:noProof/>
        </w:rPr>
        <w:t>•</w:t>
      </w:r>
      <w:r>
        <w:rPr>
          <w:noProof/>
        </w:rPr>
        <w:tab/>
        <w:t>Principle 4: Statistical authorities are committed to quality,</w:t>
      </w:r>
    </w:p>
    <w:p>
      <w:pPr>
        <w:pStyle w:val="Point0"/>
        <w:rPr>
          <w:noProof/>
        </w:rPr>
      </w:pPr>
      <w:r>
        <w:rPr>
          <w:noProof/>
        </w:rPr>
        <w:lastRenderedPageBreak/>
        <w:t>•</w:t>
      </w:r>
      <w:r>
        <w:rPr>
          <w:noProof/>
        </w:rPr>
        <w:tab/>
        <w:t>Principle 7: Sound methodology underpins quality statistics,</w:t>
      </w:r>
    </w:p>
    <w:p>
      <w:pPr>
        <w:pStyle w:val="Point0"/>
        <w:rPr>
          <w:noProof/>
        </w:rPr>
      </w:pPr>
      <w:r>
        <w:rPr>
          <w:noProof/>
        </w:rPr>
        <w:t>•</w:t>
      </w:r>
      <w:r>
        <w:rPr>
          <w:noProof/>
        </w:rPr>
        <w:tab/>
        <w:t>Principle 12: European Statistics accurately and reliably portray reality.</w:t>
      </w:r>
    </w:p>
    <w:p>
      <w:pPr>
        <w:rPr>
          <w:noProof/>
        </w:rPr>
      </w:pPr>
      <w:r>
        <w:rPr>
          <w:noProof/>
        </w:rPr>
        <w:t xml:space="preserve">Accordingly, adaptation (e) exempts Liechtenstein from the obligation to ensure an appropriate statistical monitoring of the residential property market on its territory according to Article 26(2) of the Directive. </w:t>
      </w:r>
    </w:p>
    <w:p>
      <w:pPr>
        <w:rPr>
          <w:noProof/>
        </w:rPr>
      </w:pPr>
      <w:r>
        <w:rPr>
          <w:noProof/>
          <w:u w:val="single"/>
        </w:rPr>
        <w:t>Adaptation to Articles 34(2) and (4) and 37 – adaptation (f) and (g)</w:t>
      </w:r>
    </w:p>
    <w:p>
      <w:pPr>
        <w:rPr>
          <w:noProof/>
        </w:rPr>
      </w:pPr>
      <w:r>
        <w:rPr>
          <w:noProof/>
        </w:rPr>
        <w:t>Under the system set-up by point 31g of Annex IX EEA, the competence to adopt decisions binding in the EFTA pillar under Article 19 of the EBA Regulation is vested in the EFTA Surveillance Authority, whereas most of the technical aspects of supervision will be carried out by EBA as regards matters that concern the EFTA States. EBA will also be competent to carry out non-binding mediation pursuant to Art. 19(2) EBA Regulation.</w:t>
      </w:r>
    </w:p>
    <w:p>
      <w:pPr>
        <w:rPr>
          <w:noProof/>
        </w:rPr>
      </w:pPr>
      <w:r>
        <w:rPr>
          <w:noProof/>
        </w:rPr>
        <w:t xml:space="preserve">Adaptations (f) and (g) clarify that references to the powers of EBA under Article 19 of the EBA Regulation in Articles 34(2) and (4) and 37 of the Directive, respectively, should be understood as referring, as the case may be, to the powers of the EFTA Surveillance Authority. </w:t>
      </w:r>
    </w:p>
    <w:p>
      <w:pPr>
        <w:rPr>
          <w:noProof/>
          <w:lang w:val="fr-BE"/>
        </w:rPr>
      </w:pPr>
      <w:r>
        <w:rPr>
          <w:noProof/>
          <w:u w:val="single"/>
          <w:lang w:val="fr-BE"/>
        </w:rPr>
        <w:t>Adaptation to Article 43 – adaptation (h)</w:t>
      </w:r>
    </w:p>
    <w:p>
      <w:pPr>
        <w:rPr>
          <w:noProof/>
        </w:rPr>
      </w:pPr>
      <w:r>
        <w:rPr>
          <w:noProof/>
        </w:rPr>
        <w:t xml:space="preserve">In line with Article 7 EEA, only acts that have been incorporated into the EEA Agreement are binding upon the EEA EFTA States. Certain obligations contained in the Directive may hence only apply as from the date of entry into force of the Joint Committee Decision incorporating it into the EEA Agreement. Adaptation (h) ensures that the transitional periods set out in Article 43 of the Directive, shall, in an EEA context, be understood to apply in relation to the entry into force of the Directive in the EEA.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Annex IX (Financial services) and Annex XIX (Consumer protection) to the EEA Agreement</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in conjunction with Article 218(9) 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Annex IX (Financial services) and Annex XIX (Consumer protection) to the EEA Agreement.</w:t>
      </w:r>
    </w:p>
    <w:p>
      <w:pPr>
        <w:pStyle w:val="ManualConsidrant"/>
        <w:rPr>
          <w:noProof/>
        </w:rPr>
      </w:pPr>
      <w:r>
        <w:t>(3)</w:t>
      </w:r>
      <w:r>
        <w:tab/>
      </w:r>
      <w:r>
        <w:rPr>
          <w:noProof/>
        </w:rPr>
        <w:t>Directive 2014/17/EU of the European Parliament and of the Council</w:t>
      </w:r>
      <w:r>
        <w:rPr>
          <w:rStyle w:val="FootnoteReference"/>
          <w:noProof/>
        </w:rPr>
        <w:t xml:space="preserve"> </w:t>
      </w:r>
      <w:r>
        <w:rPr>
          <w:rStyle w:val="FootnoteReference"/>
          <w:noProof/>
        </w:rPr>
        <w:footnoteReference w:id="4"/>
      </w:r>
      <w:r>
        <w:rPr>
          <w:noProof/>
        </w:rPr>
        <w:t xml:space="preserve"> is to be incorporated into the EEA Agreement.</w:t>
      </w:r>
    </w:p>
    <w:p>
      <w:pPr>
        <w:pStyle w:val="ManualConsidrant"/>
        <w:rPr>
          <w:noProof/>
        </w:rPr>
      </w:pPr>
      <w:r>
        <w:t>(4)</w:t>
      </w:r>
      <w:r>
        <w:tab/>
      </w:r>
      <w:r>
        <w:rPr>
          <w:noProof/>
        </w:rPr>
        <w:t xml:space="preserve">Annex IX (Financial services) and Annex XIX (Consumer protection)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IX (Financial services) and Annex XIX (Consumer protection) to the EEA Agreement, shall be based on the draft decision of the EEA Joint Committee attached to this Decision.</w:t>
      </w:r>
    </w:p>
    <w:p>
      <w:pPr>
        <w:pStyle w:val="Titrearticle"/>
        <w:rPr>
          <w:noProof/>
        </w:rPr>
      </w:pPr>
      <w:r>
        <w:rPr>
          <w:noProof/>
        </w:rPr>
        <w:lastRenderedPageBreak/>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pl-PL"/>
        </w:rPr>
      </w:pPr>
      <w:r>
        <w:rPr>
          <w:rStyle w:val="FootnoteReference"/>
        </w:rPr>
        <w:footnoteRef/>
      </w:r>
      <w:r>
        <w:rPr>
          <w:iCs/>
          <w:lang w:val="pl-PL"/>
        </w:rPr>
        <w:tab/>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 w:id="4">
    <w:p>
      <w:pPr>
        <w:pStyle w:val="FootnoteText"/>
        <w:rPr>
          <w:lang w:val="en-US" w:eastAsia="de-DE"/>
        </w:rPr>
      </w:pPr>
      <w:r>
        <w:rPr>
          <w:rStyle w:val="FootnoteReference"/>
        </w:rPr>
        <w:footnoteRef/>
      </w:r>
      <w:r>
        <w:tab/>
        <w:t>Directive 2014/17/EU of the European Parliament and of the Council of 4 February 2014 on credit agreements for consumers relating to residential immovable property and amending Directives 2008/48/EC and 2013/36/EU and Regulation (EU) No 1093/2010, (OJ L 60, 28.2.2014,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60B0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F04A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0456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8CC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7A8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2A3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04B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44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4: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63F7CA-53C5-4236-A9A7-AA69EA28FC71"/>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3"/>
    <w:docVar w:name="LW_REF.II.NEW.CP_YEAR" w:val="2019"/>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Annex IX (Financial services) and Annex XIX (Consumer protection) to the EEA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1388</Words>
  <Characters>7426</Characters>
  <Application>Microsoft Office Word</Application>
  <DocSecurity>0</DocSecurity>
  <Lines>142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2019-01-15T09:42:00Z</dcterms:created>
  <dcterms:modified xsi:type="dcterms:W3CDTF">2019-01-28T12:54:00Z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