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52B0685-DD46-4F66-9B83-A9554F9D5FC0"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hAnsi="Times New Roman"/>
          <w:b/>
          <w:noProof/>
          <w:sz w:val="24"/>
        </w:rPr>
      </w:pPr>
      <w:bookmarkStart w:id="1" w:name="_GoBack"/>
      <w:bookmarkEnd w:id="1"/>
      <w:r>
        <w:rPr>
          <w:rFonts w:ascii="Times New Roman" w:hAnsi="Times New Roman"/>
          <w:b/>
          <w:noProof/>
          <w:sz w:val="24"/>
        </w:rPr>
        <w:lastRenderedPageBreak/>
        <w:t>ДОКЛАД НА КОМИСИЯТА ДО ЕВРОПЕЙСКИЯ ПАРЛАМЕНТ И ДО СЪВЕТА</w:t>
      </w:r>
    </w:p>
    <w:p>
      <w:pPr>
        <w:spacing w:before="360" w:after="360" w:line="240" w:lineRule="auto"/>
        <w:jc w:val="center"/>
        <w:rPr>
          <w:rFonts w:ascii="Times New Roman" w:hAnsi="Times New Roman"/>
          <w:b/>
          <w:noProof/>
          <w:sz w:val="24"/>
        </w:rPr>
      </w:pPr>
      <w:r>
        <w:rPr>
          <w:rFonts w:ascii="Times New Roman" w:hAnsi="Times New Roman"/>
          <w:b/>
          <w:noProof/>
          <w:sz w:val="24"/>
        </w:rPr>
        <w:t>относно упражняването на правомощието за приемане на делегирани актове, предоставено на Комисията по силата на Директива 2014/90/ЕС на Европейския парламент и на Съвета от 23 юли 2014 г. по отношение на морското оборудване</w:t>
      </w:r>
    </w:p>
    <w:p>
      <w:pPr>
        <w:tabs>
          <w:tab w:val="left" w:pos="2070"/>
        </w:tabs>
        <w:spacing w:after="0" w:line="240" w:lineRule="auto"/>
        <w:rPr>
          <w:rFonts w:ascii="Times New Roman" w:eastAsia="Times New Roman" w:hAnsi="Times New Roman"/>
          <w:b/>
          <w:bCs/>
          <w:smallCaps/>
          <w:noProof/>
          <w:sz w:val="24"/>
          <w:szCs w:val="28"/>
        </w:rPr>
      </w:pPr>
      <w:r>
        <w:rPr>
          <w:noProof/>
        </w:rPr>
        <w:tab/>
      </w: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r>
        <w:rPr>
          <w:rFonts w:ascii="Times New Roman" w:hAnsi="Times New Roman"/>
          <w:b/>
          <w:smallCaps/>
          <w:noProof/>
          <w:sz w:val="24"/>
        </w:rPr>
        <w:t>Контекст</w:t>
      </w:r>
    </w:p>
    <w:p>
      <w:pPr>
        <w:spacing w:before="120" w:after="120" w:line="240" w:lineRule="auto"/>
        <w:ind w:left="850"/>
        <w:jc w:val="both"/>
        <w:rPr>
          <w:rFonts w:ascii="Times New Roman" w:hAnsi="Times New Roman"/>
          <w:noProof/>
          <w:sz w:val="24"/>
        </w:rPr>
      </w:pPr>
      <w:r>
        <w:rPr>
          <w:rFonts w:ascii="Times New Roman" w:hAnsi="Times New Roman"/>
          <w:noProof/>
          <w:sz w:val="24"/>
        </w:rPr>
        <w:t>С член 37, параграф 1 от Директива 2014/90/ЕС на Европейския парламент и на Съвета от 23 юли 2014 г. относно морското оборудване</w:t>
      </w:r>
      <w:r>
        <w:rPr>
          <w:rStyle w:val="FootnoteReference"/>
          <w:noProof/>
        </w:rPr>
        <w:footnoteReference w:id="1"/>
      </w:r>
      <w:r>
        <w:rPr>
          <w:rFonts w:ascii="Times New Roman" w:hAnsi="Times New Roman"/>
          <w:noProof/>
          <w:sz w:val="24"/>
        </w:rPr>
        <w:t xml:space="preserve"> на Комисията се предоставя правомощието да приема делегирани актове при спазване на условията, определени в същия член. Съгласно член 37, параграф 2 от посочената директива правомощието за приемане на делегирани актове се предоставя за срок от пет години, считано от 17 септември 2014 г. Този срок изтича на 17 септември 2019 г. Съгласно член 37 Комисията е оправомощена да приема делегираните актове, посочени в членове 8, 11, 27 и 36 от директивата.</w:t>
      </w:r>
    </w:p>
    <w:p>
      <w:pPr>
        <w:spacing w:before="120" w:after="120" w:line="240" w:lineRule="auto"/>
        <w:ind w:left="850"/>
        <w:jc w:val="both"/>
        <w:rPr>
          <w:rFonts w:ascii="Times New Roman" w:hAnsi="Times New Roman"/>
          <w:noProof/>
          <w:sz w:val="24"/>
        </w:rPr>
      </w:pPr>
      <w:r>
        <w:rPr>
          <w:rFonts w:ascii="Times New Roman" w:hAnsi="Times New Roman"/>
          <w:noProof/>
          <w:sz w:val="24"/>
        </w:rPr>
        <w:t>Тези делегирани актове може да се отнасят до:</w:t>
      </w:r>
    </w:p>
    <w:p>
      <w:pPr>
        <w:numPr>
          <w:ilvl w:val="0"/>
          <w:numId w:val="4"/>
        </w:numPr>
        <w:spacing w:before="120" w:after="120" w:line="240" w:lineRule="auto"/>
        <w:contextualSpacing/>
        <w:jc w:val="both"/>
        <w:rPr>
          <w:rFonts w:ascii="Times New Roman" w:hAnsi="Times New Roman"/>
          <w:noProof/>
          <w:sz w:val="24"/>
        </w:rPr>
      </w:pPr>
      <w:r>
        <w:rPr>
          <w:rFonts w:ascii="Times New Roman" w:hAnsi="Times New Roman"/>
          <w:noProof/>
          <w:sz w:val="24"/>
        </w:rPr>
        <w:t xml:space="preserve">Член 8: приемането на хармонизирани технически спецификации и стандарти за изпитване </w:t>
      </w:r>
    </w:p>
    <w:p>
      <w:pPr>
        <w:numPr>
          <w:ilvl w:val="5"/>
          <w:numId w:val="5"/>
        </w:numPr>
        <w:spacing w:before="120" w:after="120" w:line="240" w:lineRule="auto"/>
        <w:contextualSpacing/>
        <w:jc w:val="both"/>
        <w:rPr>
          <w:rFonts w:ascii="Times New Roman" w:hAnsi="Times New Roman"/>
          <w:noProof/>
          <w:sz w:val="24"/>
        </w:rPr>
      </w:pPr>
      <w:r>
        <w:rPr>
          <w:rFonts w:ascii="Times New Roman" w:hAnsi="Times New Roman"/>
          <w:noProof/>
          <w:sz w:val="24"/>
        </w:rPr>
        <w:t>при липса на международен стандарт и</w:t>
      </w:r>
    </w:p>
    <w:p>
      <w:pPr>
        <w:numPr>
          <w:ilvl w:val="5"/>
          <w:numId w:val="5"/>
        </w:numPr>
        <w:spacing w:before="120" w:after="120" w:line="240" w:lineRule="auto"/>
        <w:contextualSpacing/>
        <w:jc w:val="both"/>
        <w:rPr>
          <w:rFonts w:ascii="Times New Roman" w:hAnsi="Times New Roman"/>
          <w:noProof/>
          <w:sz w:val="24"/>
        </w:rPr>
      </w:pPr>
      <w:r>
        <w:rPr>
          <w:rFonts w:ascii="Times New Roman" w:hAnsi="Times New Roman"/>
          <w:noProof/>
          <w:sz w:val="24"/>
        </w:rPr>
        <w:t>поради сериозен пропуск или аномалия в съществуващ стандарт</w:t>
      </w:r>
    </w:p>
    <w:p>
      <w:pPr>
        <w:spacing w:before="120" w:after="120" w:line="240" w:lineRule="auto"/>
        <w:ind w:left="1571"/>
        <w:contextualSpacing/>
        <w:jc w:val="both"/>
        <w:rPr>
          <w:rFonts w:ascii="Times New Roman" w:hAnsi="Times New Roman"/>
          <w:noProof/>
          <w:sz w:val="24"/>
        </w:rPr>
      </w:pPr>
      <w:r>
        <w:rPr>
          <w:rFonts w:ascii="Times New Roman" w:hAnsi="Times New Roman"/>
          <w:noProof/>
          <w:sz w:val="24"/>
        </w:rPr>
        <w:t>за конкретен елемент морско оборудване при изключителни обстоятелства, ако това е надлежно обосновано чрез подходящ анализ и с цел да се отстрани сериозна и неприемлива заплаха за морската безопасност, за здравето или за околната среда, и като се отчита текущата работа на равнище ММО.</w:t>
      </w:r>
    </w:p>
    <w:p>
      <w:pPr>
        <w:numPr>
          <w:ilvl w:val="0"/>
          <w:numId w:val="4"/>
        </w:numPr>
        <w:spacing w:before="120" w:after="120" w:line="240" w:lineRule="auto"/>
        <w:ind w:left="1571"/>
        <w:contextualSpacing/>
        <w:jc w:val="both"/>
        <w:rPr>
          <w:rFonts w:ascii="Times New Roman" w:hAnsi="Times New Roman"/>
          <w:noProof/>
          <w:sz w:val="24"/>
        </w:rPr>
      </w:pPr>
      <w:r>
        <w:rPr>
          <w:rFonts w:ascii="Times New Roman" w:hAnsi="Times New Roman"/>
          <w:noProof/>
          <w:sz w:val="24"/>
        </w:rPr>
        <w:t>Член 11: определянето на конкретни елементи морско оборудване, за които може да се използва електронно етикетиране.</w:t>
      </w:r>
    </w:p>
    <w:p>
      <w:pPr>
        <w:numPr>
          <w:ilvl w:val="0"/>
          <w:numId w:val="4"/>
        </w:numPr>
        <w:spacing w:before="120" w:after="120" w:line="240" w:lineRule="auto"/>
        <w:ind w:left="1571"/>
        <w:contextualSpacing/>
        <w:jc w:val="both"/>
        <w:rPr>
          <w:rFonts w:ascii="Times New Roman" w:hAnsi="Times New Roman"/>
          <w:noProof/>
          <w:sz w:val="24"/>
        </w:rPr>
      </w:pPr>
      <w:r>
        <w:rPr>
          <w:rFonts w:ascii="Times New Roman" w:hAnsi="Times New Roman"/>
          <w:noProof/>
          <w:sz w:val="24"/>
        </w:rPr>
        <w:t>Член 27: временни хармонизирани изисквания и стандарти за изпитване за конкретни елементи морско оборудване съгласно предпазна процедура на ЕС, когато несъответствието на морското оборудване е отдадено на недостатъци в стандартите за изпитване.</w:t>
      </w:r>
    </w:p>
    <w:p>
      <w:pPr>
        <w:numPr>
          <w:ilvl w:val="0"/>
          <w:numId w:val="4"/>
        </w:numPr>
        <w:spacing w:before="120" w:after="120" w:line="240" w:lineRule="auto"/>
        <w:ind w:left="1571"/>
        <w:contextualSpacing/>
        <w:jc w:val="both"/>
        <w:rPr>
          <w:rFonts w:ascii="Times New Roman" w:hAnsi="Times New Roman"/>
          <w:noProof/>
          <w:sz w:val="24"/>
        </w:rPr>
      </w:pPr>
      <w:r>
        <w:rPr>
          <w:rFonts w:ascii="Times New Roman" w:hAnsi="Times New Roman"/>
          <w:noProof/>
          <w:sz w:val="24"/>
        </w:rPr>
        <w:t>Член 36: актуализиране на позоваванията на стандартите, включени в приложение III  във връзка с изискванията, на които трябва да отговарят органите за оценяване на съответствието, за да станат нотифицирани органи (в момента EN ISO/IEC 17065:2012 и EN ISO/IEC 17025/2005).</w:t>
      </w:r>
    </w:p>
    <w:p>
      <w:pPr>
        <w:spacing w:before="120" w:after="120" w:line="240" w:lineRule="auto"/>
        <w:ind w:left="850"/>
        <w:jc w:val="both"/>
        <w:rPr>
          <w:rFonts w:ascii="Times New Roman" w:hAnsi="Times New Roman"/>
          <w:noProof/>
          <w:sz w:val="24"/>
        </w:rPr>
      </w:pP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Съгласно член 37, параграф 2 от Директива 2014/90/ЕС, Комисията изготвя доклад относно делегирането на правомощия не по-късно от девет месеца преди края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 </w:t>
      </w:r>
    </w:p>
    <w:p>
      <w:pPr>
        <w:keepNext/>
        <w:numPr>
          <w:ilvl w:val="0"/>
          <w:numId w:val="1"/>
        </w:numPr>
        <w:shd w:val="clear" w:color="auto" w:fill="FFFFFF"/>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smallCaps/>
          <w:noProof/>
          <w:sz w:val="24"/>
        </w:rPr>
        <w:t xml:space="preserve">Упражняване от страна на Комисията на правомощието за приемане на делегирани актове, предоставено по силата на Директива 2014/90/ЕС на Европейския парламент и на Съвета от 23 юли 2014 г. относно морското оборудване </w:t>
      </w:r>
    </w:p>
    <w:p>
      <w:pPr>
        <w:spacing w:before="120" w:after="120" w:line="240" w:lineRule="auto"/>
        <w:ind w:left="850"/>
        <w:jc w:val="both"/>
        <w:rPr>
          <w:rFonts w:ascii="Times New Roman" w:hAnsi="Times New Roman"/>
          <w:noProof/>
          <w:sz w:val="24"/>
        </w:rPr>
      </w:pPr>
      <w:r>
        <w:rPr>
          <w:rFonts w:ascii="Times New Roman" w:hAnsi="Times New Roman"/>
          <w:noProof/>
          <w:sz w:val="24"/>
        </w:rPr>
        <w:t>Комисията е упражнила правомощието за приемане на делегирани актове, предоставено ѝ с Директива 2014/90/ЕС веднъж през отчетния период.</w:t>
      </w:r>
    </w:p>
    <w:p>
      <w:pPr>
        <w:spacing w:before="120" w:after="120" w:line="240" w:lineRule="auto"/>
        <w:ind w:left="850"/>
        <w:jc w:val="both"/>
        <w:rPr>
          <w:rFonts w:ascii="Times New Roman" w:hAnsi="Times New Roman"/>
          <w:noProof/>
          <w:sz w:val="24"/>
        </w:rPr>
      </w:pPr>
      <w:r>
        <w:rPr>
          <w:rFonts w:ascii="Times New Roman" w:hAnsi="Times New Roman"/>
          <w:noProof/>
          <w:sz w:val="24"/>
        </w:rPr>
        <w:t>Приетият акт е Делегиран регламент (ЕС) 2018/414 на Комисията от 9 януари 2018 г. за допълнение на Директива 2014/90/ЕС на Европейския парламент и на Съвета по отношение на определянето на конкретните елементи морско оборудване, за които може да се използва електронно етикетиране</w:t>
      </w:r>
    </w:p>
    <w:p>
      <w:pPr>
        <w:spacing w:before="120" w:after="120" w:line="240" w:lineRule="auto"/>
        <w:ind w:left="850"/>
        <w:jc w:val="both"/>
        <w:rPr>
          <w:rFonts w:ascii="Times New Roman" w:hAnsi="Times New Roman"/>
          <w:noProof/>
          <w:sz w:val="24"/>
        </w:rPr>
      </w:pPr>
      <w:r>
        <w:rPr>
          <w:rFonts w:ascii="Times New Roman" w:hAnsi="Times New Roman"/>
          <w:noProof/>
          <w:sz w:val="24"/>
        </w:rPr>
        <w:t>Той беше приет в съответствие с член 11 от Директивата за морското оборудване. Това определяне на морско оборудване, за което може да се използва електронно етикетиране, беше необходимо, за да позволи на икономическите оператори доброволно да използват електронни етикети, да улесни пазарния надзор и да предотврати фалшифицирането на конкретни елементи морско оборудване.</w:t>
      </w: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r>
        <w:rPr>
          <w:rFonts w:ascii="Times New Roman" w:hAnsi="Times New Roman"/>
          <w:b/>
          <w:smallCaps/>
          <w:noProof/>
          <w:sz w:val="24"/>
        </w:rPr>
        <w:t>Заключения</w:t>
      </w:r>
    </w:p>
    <w:p>
      <w:pPr>
        <w:spacing w:before="120" w:after="120" w:line="240" w:lineRule="auto"/>
        <w:ind w:left="850"/>
        <w:jc w:val="both"/>
        <w:rPr>
          <w:rFonts w:ascii="Times New Roman" w:hAnsi="Times New Roman"/>
          <w:noProof/>
          <w:sz w:val="24"/>
        </w:rPr>
      </w:pPr>
      <w:r>
        <w:rPr>
          <w:rFonts w:ascii="Times New Roman" w:hAnsi="Times New Roman"/>
          <w:noProof/>
          <w:sz w:val="24"/>
        </w:rPr>
        <w:t>Комисията смята за необходимо оправомощаването да бъде удължено поради нуждата да се допълват или изменят съответните разпоредби на директивата за постоянно променящия се списък на елементите морско оборудване, които попадат в обхвата на директивата (член 11), за актуализираните международни стандарти, свързани с изискванията, на които трябва да отговарят органите за оценяване на съответствието (член 36) и за да се отстраняват сериозните и неприемливи заплахи за морската безопасност, здравето или околната среда в кратък срок, ако възникне такава необходимост (членове 8 и 27).</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ОВ L 257, 28.8.2014 г., стр. 168.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A47F3"/>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908675B"/>
    <w:multiLevelType w:val="hybridMultilevel"/>
    <w:tmpl w:val="B844B158"/>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gnword-docGUID" w:val="{8486E9B6-35E5-48F1-8B60-DDDD15B0357B}"/>
    <w:docVar w:name="dgnword-eventsink" w:val="735117944"/>
    <w:docVar w:name="DocStatus" w:val="Green"/>
    <w:docVar w:name="LW_CORRIGENDUM" w:val="&lt;UNUSED&gt;"/>
    <w:docVar w:name="LW_COVERPAGE_EXISTS" w:val="True"/>
    <w:docVar w:name="LW_COVERPAGE_GUID" w:val="452B0685-DD46-4F66-9B83-A9554F9D5FC0"/>
    <w:docVar w:name="LW_COVERPAGE_TYPE" w:val="1"/>
    <w:docVar w:name="LW_CROSSREFERENCE" w:val="&lt;UNUSED&gt;"/>
    <w:docVar w:name="LW_DocType" w:val="NORMAL"/>
    <w:docVar w:name="LW_EMISSION" w:val="1.2.2019"/>
    <w:docVar w:name="LW_EMISSION_ISODATE" w:val="2019-02-01"/>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7?\u1086? \u1089?\u1080?\u1083?\u1072?\u1090?\u1072? \u1085?\u1072? \u1044?\u1080?\u1088?\u1077?\u1082?\u1090?\u1080?\u1074?\u1072? 2014/90/\u1045?\u1057? \u1085?\u1072? \u1045?\u1074?\u1088?\u1086?\u1087?\u1077?\u1081?\u1089?\u1082?\u1080?\u1103? \u1087?\u1072?\u1088?\u1083?\u1072?\u1084?\u1077?\u1085?\u1090? \u1080? \u1085?\u1072? \u1057?\u1098?\u1074?\u1077?\u1090?\u1072? \u1086?\u1090? 23 \u1102?\u1083?\u1080? 2014 \u1075?. \u1087?\u1086? \u1086?\u1090?\u1085?\u1086?\u1096?\u1077?\u1085?\u1080?\u1077? \u1085?\u1072? \u1084?\u1086?\u1088?\u1089?\u1082?\u1086?\u1090?\u1086? \u1086?\u1073?\u1086?\u1088?\u1091?\u1076?\u1074?\u1072?\u1085?\u1077?&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pPr>
      <w:keepNext/>
      <w:tabs>
        <w:tab w:val="num" w:pos="850"/>
      </w:tabs>
      <w:spacing w:before="120" w:after="120" w:line="240" w:lineRule="auto"/>
      <w:ind w:left="850" w:hanging="850"/>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rPr>
      <w:rFonts w:ascii="Calibri" w:hAnsi="Calibri"/>
      <w:sz w:val="20"/>
      <w:szCs w:val="20"/>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bg-BG"/>
    </w:rPr>
  </w:style>
  <w:style w:type="character" w:styleId="FootnoteReference">
    <w:name w:val="footnote reference"/>
    <w:uiPriority w:val="99"/>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val="bg-B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Calibri" w:hAnsi="Calibri"/>
      <w:sz w:val="20"/>
      <w:szCs w:val="20"/>
    </w:rPr>
  </w:style>
  <w:style w:type="character" w:styleId="CommentReference">
    <w:name w:val="annotation reference"/>
    <w:uiPriority w:val="99"/>
    <w:semiHidden/>
    <w:unhideWhenUsed/>
    <w:rPr>
      <w:sz w:val="16"/>
      <w:szCs w:val="16"/>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link w:val="CommentSubject"/>
    <w:uiPriority w:val="99"/>
    <w:semiHidden/>
    <w:rPr>
      <w:rFonts w:ascii="Calibri" w:hAnsi="Calibri"/>
      <w:b/>
      <w:bCs/>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pPr>
      <w:keepNext/>
      <w:tabs>
        <w:tab w:val="num" w:pos="850"/>
      </w:tabs>
      <w:spacing w:before="120" w:after="120" w:line="240" w:lineRule="auto"/>
      <w:ind w:left="850" w:hanging="850"/>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rPr>
      <w:rFonts w:ascii="Calibri" w:hAnsi="Calibri"/>
      <w:sz w:val="20"/>
      <w:szCs w:val="20"/>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bg-BG"/>
    </w:rPr>
  </w:style>
  <w:style w:type="character" w:styleId="FootnoteReference">
    <w:name w:val="footnote reference"/>
    <w:uiPriority w:val="99"/>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val="bg-B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Calibri" w:hAnsi="Calibri"/>
      <w:sz w:val="20"/>
      <w:szCs w:val="20"/>
    </w:rPr>
  </w:style>
  <w:style w:type="character" w:styleId="CommentReference">
    <w:name w:val="annotation reference"/>
    <w:uiPriority w:val="99"/>
    <w:semiHidden/>
    <w:unhideWhenUsed/>
    <w:rPr>
      <w:sz w:val="16"/>
      <w:szCs w:val="16"/>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link w:val="CommentSubject"/>
    <w:uiPriority w:val="99"/>
    <w:semiHidden/>
    <w:rPr>
      <w:rFonts w:ascii="Calibri" w:hAnsi="Calibri"/>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5929">
      <w:bodyDiv w:val="1"/>
      <w:marLeft w:val="0"/>
      <w:marRight w:val="0"/>
      <w:marTop w:val="0"/>
      <w:marBottom w:val="0"/>
      <w:divBdr>
        <w:top w:val="none" w:sz="0" w:space="0" w:color="auto"/>
        <w:left w:val="none" w:sz="0" w:space="0" w:color="auto"/>
        <w:bottom w:val="none" w:sz="0" w:space="0" w:color="auto"/>
        <w:right w:val="none" w:sz="0" w:space="0" w:color="auto"/>
      </w:divBdr>
    </w:div>
    <w:div w:id="381027463">
      <w:bodyDiv w:val="1"/>
      <w:marLeft w:val="0"/>
      <w:marRight w:val="0"/>
      <w:marTop w:val="0"/>
      <w:marBottom w:val="0"/>
      <w:divBdr>
        <w:top w:val="none" w:sz="0" w:space="0" w:color="auto"/>
        <w:left w:val="none" w:sz="0" w:space="0" w:color="auto"/>
        <w:bottom w:val="none" w:sz="0" w:space="0" w:color="auto"/>
        <w:right w:val="none" w:sz="0" w:space="0" w:color="auto"/>
      </w:divBdr>
    </w:div>
    <w:div w:id="82439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4F86D-46EB-4881-9A63-200CB1E8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589</Words>
  <Characters>3442</Characters>
  <Application>Microsoft Office Word</Application>
  <DocSecurity>0</DocSecurity>
  <Lines>70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dcterms:created xsi:type="dcterms:W3CDTF">2019-01-03T13:34:00Z</dcterms:created>
  <dcterms:modified xsi:type="dcterms:W3CDTF">2019-02-01T09:10:00Z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