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ABE7812-26CE-4E8C-8AB4-784DFC5F9E2D" style="width:450.75pt;height:333.75pt">
            <v:imagedata r:id="rId9" o:title=""/>
          </v:shape>
        </w:pict>
      </w:r>
    </w:p>
    <w:bookmarkEnd w:id="0"/>
    <w:p>
      <w:pPr>
        <w:rPr>
          <w:noProof/>
          <w:lang w:eastAsia="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360" w:after="0" w:line="240" w:lineRule="auto"/>
        <w:jc w:val="center"/>
        <w:rPr>
          <w:rFonts w:ascii="Times New Roman" w:hAnsi="Times New Roman"/>
          <w:b/>
          <w:noProof/>
          <w:sz w:val="24"/>
          <w:lang w:eastAsia="en-GB"/>
        </w:rPr>
      </w:pPr>
      <w:bookmarkStart w:id="1" w:name="_GoBack"/>
      <w:bookmarkEnd w:id="1"/>
      <w:r>
        <w:rPr>
          <w:rFonts w:ascii="Times New Roman" w:hAnsi="Times New Roman"/>
          <w:b/>
          <w:noProof/>
          <w:sz w:val="24"/>
          <w:lang w:eastAsia="en-GB"/>
        </w:rPr>
        <w:lastRenderedPageBreak/>
        <w:t>REPORT FROM THE COMMISSION TO THE EUROPEAN PARLIAMENT AND THE COUNCIL</w:t>
      </w:r>
    </w:p>
    <w:p>
      <w:pPr>
        <w:spacing w:before="360" w:after="360" w:line="240" w:lineRule="auto"/>
        <w:jc w:val="center"/>
        <w:rPr>
          <w:rFonts w:ascii="Times New Roman" w:hAnsi="Times New Roman"/>
          <w:b/>
          <w:noProof/>
          <w:sz w:val="24"/>
          <w:lang w:eastAsia="en-GB"/>
        </w:rPr>
      </w:pPr>
      <w:r>
        <w:rPr>
          <w:rFonts w:ascii="Times New Roman" w:hAnsi="Times New Roman"/>
          <w:b/>
          <w:noProof/>
          <w:sz w:val="24"/>
          <w:lang w:eastAsia="en-GB"/>
        </w:rPr>
        <w:t>on the exercise of the power to adopt delegated acts conferred on the Commission under Directive 2014/90/EU of the European Parliament and of the Council of 23 July 2014 on marine equipment</w:t>
      </w:r>
    </w:p>
    <w:p>
      <w:pPr>
        <w:tabs>
          <w:tab w:val="left" w:pos="2070"/>
        </w:tabs>
        <w:spacing w:after="0" w:line="240" w:lineRule="auto"/>
        <w:rPr>
          <w:rFonts w:ascii="Times New Roman" w:eastAsia="Times New Roman" w:hAnsi="Times New Roman"/>
          <w:b/>
          <w:bCs/>
          <w:smallCaps/>
          <w:noProof/>
          <w:sz w:val="24"/>
          <w:szCs w:val="28"/>
          <w:lang w:eastAsia="en-GB"/>
        </w:rPr>
      </w:pPr>
      <w:r>
        <w:rPr>
          <w:rFonts w:ascii="Times New Roman" w:eastAsia="Times New Roman" w:hAnsi="Times New Roman"/>
          <w:b/>
          <w:bCs/>
          <w:smallCaps/>
          <w:noProof/>
          <w:sz w:val="24"/>
          <w:szCs w:val="28"/>
          <w:lang w:eastAsia="en-GB"/>
        </w:rPr>
        <w:tab/>
      </w:r>
    </w:p>
    <w:p>
      <w:pPr>
        <w:keepNext/>
        <w:numPr>
          <w:ilvl w:val="0"/>
          <w:numId w:val="1"/>
        </w:numPr>
        <w:shd w:val="clear" w:color="auto" w:fill="FFFFFF"/>
        <w:spacing w:before="360" w:after="120" w:line="240" w:lineRule="auto"/>
        <w:jc w:val="both"/>
        <w:outlineLvl w:val="0"/>
        <w:rPr>
          <w:rFonts w:ascii="Times New Roman" w:hAnsi="Times New Roman"/>
          <w:b/>
          <w:bCs/>
          <w:smallCaps/>
          <w:noProof/>
          <w:sz w:val="24"/>
          <w:szCs w:val="28"/>
        </w:rPr>
      </w:pPr>
      <w:r>
        <w:rPr>
          <w:rFonts w:ascii="Times New Roman" w:hAnsi="Times New Roman"/>
          <w:b/>
          <w:bCs/>
          <w:smallCaps/>
          <w:noProof/>
          <w:sz w:val="24"/>
          <w:szCs w:val="28"/>
        </w:rPr>
        <w:t>Background</w:t>
      </w: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Article 37(1) of Directive 2014/90/EU of the European Parliament and of the Council of 23 July 2014 on marine equipment</w:t>
      </w:r>
      <w:r>
        <w:rPr>
          <w:rStyle w:val="FootnoteReference"/>
          <w:noProof/>
        </w:rPr>
        <w:footnoteReference w:id="1"/>
      </w:r>
      <w:r>
        <w:rPr>
          <w:rFonts w:ascii="Times New Roman" w:hAnsi="Times New Roman"/>
          <w:noProof/>
          <w:sz w:val="24"/>
          <w:lang w:eastAsia="en-GB"/>
        </w:rPr>
        <w:t xml:space="preserve"> confers on the Commission the power to adopt delegated acts subject to the conditions laid down in the article. Under Article 37(2) of the Directive, the power to adopt delegated acts is conferred for a period of five years from 17 September 2014. The period ends on 17 September 2019. The Commission is authorised in accordance with Article 37 to adopt delegated acts referred to in Articles 8, 11, 27 and 36 of the Directive.</w:t>
      </w: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These delegated acts may concern:</w:t>
      </w:r>
    </w:p>
    <w:p>
      <w:pPr>
        <w:numPr>
          <w:ilvl w:val="0"/>
          <w:numId w:val="4"/>
        </w:numPr>
        <w:spacing w:before="120" w:after="120" w:line="240" w:lineRule="auto"/>
        <w:contextualSpacing/>
        <w:jc w:val="both"/>
        <w:rPr>
          <w:rFonts w:ascii="Times New Roman" w:hAnsi="Times New Roman"/>
          <w:noProof/>
          <w:sz w:val="24"/>
          <w:lang w:eastAsia="en-GB"/>
        </w:rPr>
      </w:pPr>
      <w:r>
        <w:rPr>
          <w:rFonts w:ascii="Times New Roman" w:hAnsi="Times New Roman"/>
          <w:noProof/>
          <w:sz w:val="24"/>
          <w:lang w:eastAsia="en-GB"/>
        </w:rPr>
        <w:t xml:space="preserve">Article 8: the adoption of harmonised technical specifications and testing standards </w:t>
      </w:r>
    </w:p>
    <w:p>
      <w:pPr>
        <w:numPr>
          <w:ilvl w:val="5"/>
          <w:numId w:val="5"/>
        </w:numPr>
        <w:spacing w:before="120" w:after="120" w:line="240" w:lineRule="auto"/>
        <w:contextualSpacing/>
        <w:jc w:val="both"/>
        <w:rPr>
          <w:rFonts w:ascii="Times New Roman" w:hAnsi="Times New Roman"/>
          <w:noProof/>
          <w:sz w:val="24"/>
          <w:lang w:eastAsia="en-GB"/>
        </w:rPr>
      </w:pPr>
      <w:r>
        <w:rPr>
          <w:rFonts w:ascii="Times New Roman" w:hAnsi="Times New Roman"/>
          <w:noProof/>
          <w:sz w:val="24"/>
          <w:lang w:eastAsia="en-GB"/>
        </w:rPr>
        <w:t>in the absence of an international standard and</w:t>
      </w:r>
    </w:p>
    <w:p>
      <w:pPr>
        <w:numPr>
          <w:ilvl w:val="5"/>
          <w:numId w:val="5"/>
        </w:numPr>
        <w:spacing w:before="120" w:after="120" w:line="240" w:lineRule="auto"/>
        <w:contextualSpacing/>
        <w:jc w:val="both"/>
        <w:rPr>
          <w:rFonts w:ascii="Times New Roman" w:hAnsi="Times New Roman"/>
          <w:noProof/>
          <w:sz w:val="24"/>
          <w:lang w:eastAsia="en-GB"/>
        </w:rPr>
      </w:pPr>
      <w:r>
        <w:rPr>
          <w:rFonts w:ascii="Times New Roman" w:hAnsi="Times New Roman"/>
          <w:noProof/>
          <w:sz w:val="24"/>
          <w:lang w:eastAsia="en-GB"/>
        </w:rPr>
        <w:t>due to a serious weakness or anomaly in an existing standard</w:t>
      </w:r>
    </w:p>
    <w:p>
      <w:pPr>
        <w:spacing w:before="120" w:after="120" w:line="240" w:lineRule="auto"/>
        <w:ind w:left="1571"/>
        <w:contextualSpacing/>
        <w:jc w:val="both"/>
        <w:rPr>
          <w:rFonts w:ascii="Times New Roman" w:hAnsi="Times New Roman"/>
          <w:noProof/>
          <w:sz w:val="24"/>
          <w:lang w:eastAsia="en-GB"/>
        </w:rPr>
      </w:pPr>
      <w:r>
        <w:rPr>
          <w:rFonts w:ascii="Times New Roman" w:hAnsi="Times New Roman"/>
          <w:noProof/>
          <w:sz w:val="24"/>
          <w:lang w:eastAsia="en-GB"/>
        </w:rPr>
        <w:t>for a specific item of marine equipment in exceptional circumstances where duly justified by an appropriate analysis and in order to remove a serious and unacceptable threat to maritime safety, to health or to the environment and taking into account any ongoing work at IMO level.</w:t>
      </w:r>
    </w:p>
    <w:p>
      <w:pPr>
        <w:numPr>
          <w:ilvl w:val="0"/>
          <w:numId w:val="4"/>
        </w:numPr>
        <w:spacing w:before="120" w:after="120" w:line="240" w:lineRule="auto"/>
        <w:ind w:left="1571"/>
        <w:contextualSpacing/>
        <w:jc w:val="both"/>
        <w:rPr>
          <w:rFonts w:ascii="Times New Roman" w:hAnsi="Times New Roman"/>
          <w:noProof/>
          <w:sz w:val="24"/>
          <w:lang w:eastAsia="en-GB"/>
        </w:rPr>
      </w:pPr>
      <w:r>
        <w:rPr>
          <w:rFonts w:ascii="Times New Roman" w:hAnsi="Times New Roman"/>
          <w:noProof/>
          <w:sz w:val="24"/>
          <w:lang w:eastAsia="en-GB"/>
        </w:rPr>
        <w:t>Article 11: the identification of specific items of marine equipment which can benefit from an electronic tagging.</w:t>
      </w:r>
    </w:p>
    <w:p>
      <w:pPr>
        <w:numPr>
          <w:ilvl w:val="0"/>
          <w:numId w:val="4"/>
        </w:numPr>
        <w:spacing w:before="120" w:after="120" w:line="240" w:lineRule="auto"/>
        <w:ind w:left="1571"/>
        <w:contextualSpacing/>
        <w:jc w:val="both"/>
        <w:rPr>
          <w:rFonts w:ascii="Times New Roman" w:hAnsi="Times New Roman"/>
          <w:noProof/>
          <w:sz w:val="24"/>
          <w:lang w:eastAsia="en-GB"/>
        </w:rPr>
      </w:pPr>
      <w:r>
        <w:rPr>
          <w:rFonts w:ascii="Times New Roman" w:hAnsi="Times New Roman"/>
          <w:noProof/>
          <w:sz w:val="24"/>
          <w:lang w:eastAsia="en-GB"/>
        </w:rPr>
        <w:t>Article 27: interim harmonised requirements and testing standards for specific items of marine equipment subject to an EU safeguard procedure where the non-compliance of the marine equipment is attributed to shortcomings in the testing standards.</w:t>
      </w:r>
    </w:p>
    <w:p>
      <w:pPr>
        <w:numPr>
          <w:ilvl w:val="0"/>
          <w:numId w:val="4"/>
        </w:numPr>
        <w:spacing w:before="120" w:after="120" w:line="240" w:lineRule="auto"/>
        <w:ind w:left="1571"/>
        <w:contextualSpacing/>
        <w:jc w:val="both"/>
        <w:rPr>
          <w:rFonts w:ascii="Times New Roman" w:hAnsi="Times New Roman"/>
          <w:noProof/>
          <w:sz w:val="24"/>
          <w:lang w:eastAsia="en-GB"/>
        </w:rPr>
      </w:pPr>
      <w:r>
        <w:rPr>
          <w:rFonts w:ascii="Times New Roman" w:hAnsi="Times New Roman"/>
          <w:noProof/>
          <w:sz w:val="24"/>
          <w:lang w:eastAsia="en-GB"/>
        </w:rPr>
        <w:t>Article 36: updates of the references to standards contained in Annex III dealing with the requirements to be met by conformity assessment bodies in order to become notified bodies (currently EN ISO/IEC 17065:2012 and EN ISO/IEC 17025/2005).</w:t>
      </w:r>
    </w:p>
    <w:p>
      <w:pPr>
        <w:spacing w:before="120" w:after="120" w:line="240" w:lineRule="auto"/>
        <w:ind w:left="850"/>
        <w:jc w:val="both"/>
        <w:rPr>
          <w:rFonts w:ascii="Times New Roman" w:hAnsi="Times New Roman"/>
          <w:noProof/>
          <w:sz w:val="24"/>
          <w:lang w:eastAsia="en-GB"/>
        </w:rPr>
      </w:pP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 xml:space="preserve">In accordance with Article 37(2) of Directive 2014/90/EU, the Commission must draw up a report on the delegation of power not later than nine months before the end of the five-year period. The delegation of power is to be tacitly extended for periods of an identical duration, unless the European Parliament or the Council opposes such extension not later than three months before the end of each period. </w:t>
      </w:r>
    </w:p>
    <w:p>
      <w:pPr>
        <w:keepNext/>
        <w:numPr>
          <w:ilvl w:val="0"/>
          <w:numId w:val="1"/>
        </w:numPr>
        <w:shd w:val="clear" w:color="auto" w:fill="FFFFFF"/>
        <w:spacing w:before="360" w:after="120" w:line="240" w:lineRule="auto"/>
        <w:jc w:val="both"/>
        <w:outlineLvl w:val="0"/>
        <w:rPr>
          <w:rFonts w:ascii="Times New Roman" w:eastAsia="Times New Roman" w:hAnsi="Times New Roman"/>
          <w:b/>
          <w:bCs/>
          <w:smallCaps/>
          <w:noProof/>
          <w:sz w:val="24"/>
          <w:szCs w:val="28"/>
          <w:lang w:eastAsia="en-GB"/>
        </w:rPr>
      </w:pPr>
      <w:r>
        <w:rPr>
          <w:rFonts w:ascii="Times New Roman" w:hAnsi="Times New Roman"/>
          <w:b/>
          <w:bCs/>
          <w:smallCaps/>
          <w:noProof/>
          <w:sz w:val="24"/>
          <w:szCs w:val="28"/>
        </w:rPr>
        <w:t xml:space="preserve">Commission exercise of delegated powers under </w:t>
      </w:r>
      <w:r>
        <w:rPr>
          <w:rFonts w:ascii="Times New Roman" w:eastAsia="Times New Roman" w:hAnsi="Times New Roman"/>
          <w:b/>
          <w:bCs/>
          <w:smallCaps/>
          <w:noProof/>
          <w:sz w:val="24"/>
          <w:szCs w:val="28"/>
          <w:lang w:eastAsia="en-GB"/>
        </w:rPr>
        <w:t xml:space="preserve">Directive 2014/90/EU of the European Parliament and of the Council of 23 July 2014 on marine equipment </w:t>
      </w: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The Commission has exercised the power to adopt delegated acts conferred on it by Directive 2014/90/EU once during the reporting period.</w:t>
      </w: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The adopted act is the Commission Delegated Regulation (EU) 2018/414 of 9 January 2018 supplementing Directive 2014/90/EU of the European Parliament and of the Council as regards the identification of specific items of marine equipment which can benefit from electronic tagging.</w:t>
      </w: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It was adopted in accordance with Article 11 of the Marine Equipment Directive. This identification of marine equipment which can benefit from electronic tagging was necessary in order to enable the voluntary use of electronic tags by economic operators, to facilitate market surveillance and to prevent the counterfeiting of specific items of marine equipment.</w:t>
      </w:r>
    </w:p>
    <w:p>
      <w:pPr>
        <w:keepNext/>
        <w:numPr>
          <w:ilvl w:val="0"/>
          <w:numId w:val="1"/>
        </w:numPr>
        <w:shd w:val="clear" w:color="auto" w:fill="FFFFFF"/>
        <w:spacing w:before="360" w:after="120" w:line="240" w:lineRule="auto"/>
        <w:jc w:val="both"/>
        <w:outlineLvl w:val="0"/>
        <w:rPr>
          <w:rFonts w:ascii="Times New Roman" w:hAnsi="Times New Roman"/>
          <w:b/>
          <w:bCs/>
          <w:smallCaps/>
          <w:noProof/>
          <w:sz w:val="24"/>
          <w:szCs w:val="28"/>
          <w:lang w:eastAsia="en-GB"/>
        </w:rPr>
      </w:pPr>
      <w:r>
        <w:rPr>
          <w:rFonts w:ascii="Times New Roman" w:hAnsi="Times New Roman"/>
          <w:b/>
          <w:bCs/>
          <w:smallCaps/>
          <w:noProof/>
          <w:sz w:val="24"/>
          <w:szCs w:val="28"/>
        </w:rPr>
        <w:t>Conclusions</w:t>
      </w:r>
    </w:p>
    <w:p>
      <w:pPr>
        <w:spacing w:before="120" w:after="120" w:line="240" w:lineRule="auto"/>
        <w:ind w:left="850"/>
        <w:jc w:val="both"/>
        <w:rPr>
          <w:rFonts w:ascii="Times New Roman" w:hAnsi="Times New Roman"/>
          <w:noProof/>
          <w:sz w:val="24"/>
          <w:lang w:eastAsia="en-GB"/>
        </w:rPr>
      </w:pPr>
      <w:r>
        <w:rPr>
          <w:rFonts w:ascii="Times New Roman" w:hAnsi="Times New Roman"/>
          <w:noProof/>
          <w:sz w:val="24"/>
          <w:lang w:eastAsia="en-GB"/>
        </w:rPr>
        <w:t>The Commission sees the need to extend the empowerment because of the need to supplement or amend respective provisions of the Directive to a constantly changing list of marine equipment items falling into the scope of the Directive (Article 11), to updated international standards linked to the requirements to be met by conformity assessment bodies  (Article 36) and in order to remove serious and unacceptable threats to maritime safety, to health or to the environment within a short time span should this become necessary (Articles 8 and 27).</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rFonts w:ascii="Times New Roman" w:hAnsi="Times New Roman"/>
        </w:rPr>
        <w:t>OJ L 257, 28.08.2014, p. 168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A47F3"/>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908675B"/>
    <w:multiLevelType w:val="hybridMultilevel"/>
    <w:tmpl w:val="B844B158"/>
    <w:lvl w:ilvl="0" w:tplc="08090001">
      <w:start w:val="1"/>
      <w:numFmt w:val="bullet"/>
      <w:lvlText w:val=""/>
      <w:lvlJc w:val="left"/>
      <w:pPr>
        <w:ind w:left="1570" w:hanging="360"/>
      </w:pPr>
      <w:rPr>
        <w:rFonts w:ascii="Symbol" w:hAnsi="Symbol" w:hint="default"/>
      </w:rPr>
    </w:lvl>
    <w:lvl w:ilvl="1" w:tplc="08090003">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8486E9B6-35E5-48F1-8B60-DDDD15B0357B}"/>
    <w:docVar w:name="dgnword-eventsink" w:val="735117944"/>
    <w:docVar w:name="DocStatus" w:val="Green"/>
    <w:docVar w:name="LW_ACCOMPAGNANT.CP" w:val="&lt;UNUSED&gt;"/>
    <w:docVar w:name="LW_CORRIGENDUM" w:val="&lt;UNUSED&gt;"/>
    <w:docVar w:name="LW_COVERPAGE_EXISTS" w:val="True"/>
    <w:docVar w:name="LW_COVERPAGE_GUID" w:val="1ABE7812-26CE-4E8C-8AB4-784DFC5F9E2D"/>
    <w:docVar w:name="LW_COVERPAGE_TYPE" w:val="1"/>
    <w:docVar w:name="LW_CROSSREFERENCE" w:val="&lt;UNUSED&gt;"/>
    <w:docVar w:name="LW_DATE.ADOPT.CP_ISODATE" w:val="&lt;EMPTY&gt;"/>
    <w:docVar w:name="LW_DocType" w:val="NORMAL"/>
    <w:docVar w:name="LW_EMISSION" w:val="1.2.2019"/>
    <w:docVar w:name="LW_EMISSION_ISODATE" w:val="2019-02-01"/>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exercise of power to adopt delegated acts conferred on the Commission under Directive 2014/90/EU of the European Parliament and of the Council of 23 July 2014 on marine equipment"/>
    <w:docVar w:name="LW_TYPE.DOC.CP" w:val="REPORT FROM THE COMMISSION TO THE EUROPEAN PARLIAMENT AND THE COUNCIL"/>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pPr>
      <w:keepNext/>
      <w:tabs>
        <w:tab w:val="num" w:pos="850"/>
      </w:tabs>
      <w:spacing w:before="120" w:after="120" w:line="240" w:lineRule="auto"/>
      <w:ind w:left="850" w:hanging="850"/>
      <w:jc w:val="both"/>
      <w:outlineLvl w:val="3"/>
    </w:pPr>
    <w:rPr>
      <w:rFonts w:ascii="Times New Roman" w:eastAsia="Times New Roman" w:hAnsi="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rFonts w:ascii="Calibri" w:hAnsi="Calibri"/>
      <w:sz w:val="20"/>
      <w:szCs w:val="20"/>
    </w:rPr>
  </w:style>
  <w:style w:type="character" w:customStyle="1" w:styleId="Heading4Char">
    <w:name w:val="Heading 4 Char"/>
    <w:link w:val="Heading4"/>
    <w:uiPriority w:val="9"/>
    <w:semiHidden/>
    <w:rPr>
      <w:rFonts w:ascii="Times New Roman" w:eastAsia="Times New Roman" w:hAnsi="Times New Roman" w:cs="Times New Roman"/>
      <w:bCs/>
      <w:iCs/>
      <w:sz w:val="24"/>
      <w:lang w:eastAsia="en-GB"/>
    </w:rPr>
  </w:style>
  <w:style w:type="character" w:styleId="FootnoteReference">
    <w:name w:val="footnote reference"/>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val="en-GB"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val="en-GB"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hAnsi="Calibri"/>
      <w:sz w:val="20"/>
      <w:szCs w:val="20"/>
    </w:rPr>
  </w:style>
  <w:style w:type="character" w:styleId="CommentReference">
    <w:name w:val="annotation reference"/>
    <w:uiPriority w:val="99"/>
    <w:semiHidden/>
    <w:unhideWhenUsed/>
    <w:rPr>
      <w:sz w:val="16"/>
      <w:szCs w:val="16"/>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CommentSubject">
    <w:name w:val="annotation subject"/>
    <w:basedOn w:val="CommentText"/>
    <w:next w:val="CommentText"/>
    <w:link w:val="CommentSubjectChar"/>
    <w:uiPriority w:val="99"/>
    <w:semiHidden/>
    <w:unhideWhenUsed/>
    <w:pPr>
      <w:spacing w:line="276" w:lineRule="auto"/>
    </w:pPr>
    <w:rPr>
      <w:b/>
      <w:bCs/>
    </w:rPr>
  </w:style>
  <w:style w:type="character" w:customStyle="1" w:styleId="CommentSubjectChar">
    <w:name w:val="Comment Subject Char"/>
    <w:link w:val="CommentSubject"/>
    <w:uiPriority w:val="99"/>
    <w:semiHidden/>
    <w:rPr>
      <w:rFonts w:ascii="Calibri" w:hAnsi="Calibri"/>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pPr>
      <w:keepNext/>
      <w:tabs>
        <w:tab w:val="num" w:pos="850"/>
      </w:tabs>
      <w:spacing w:before="120" w:after="120" w:line="240" w:lineRule="auto"/>
      <w:ind w:left="850" w:hanging="850"/>
      <w:jc w:val="both"/>
      <w:outlineLvl w:val="3"/>
    </w:pPr>
    <w:rPr>
      <w:rFonts w:ascii="Times New Roman" w:eastAsia="Times New Roman" w:hAnsi="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rFonts w:ascii="Calibri" w:hAnsi="Calibri"/>
      <w:sz w:val="20"/>
      <w:szCs w:val="20"/>
    </w:rPr>
  </w:style>
  <w:style w:type="character" w:customStyle="1" w:styleId="Heading4Char">
    <w:name w:val="Heading 4 Char"/>
    <w:link w:val="Heading4"/>
    <w:uiPriority w:val="9"/>
    <w:semiHidden/>
    <w:rPr>
      <w:rFonts w:ascii="Times New Roman" w:eastAsia="Times New Roman" w:hAnsi="Times New Roman" w:cs="Times New Roman"/>
      <w:bCs/>
      <w:iCs/>
      <w:sz w:val="24"/>
      <w:lang w:eastAsia="en-GB"/>
    </w:rPr>
  </w:style>
  <w:style w:type="character" w:styleId="FootnoteReference">
    <w:name w:val="footnote reference"/>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val="en-GB"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val="en-GB"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hAnsi="Calibri"/>
      <w:sz w:val="20"/>
      <w:szCs w:val="20"/>
    </w:rPr>
  </w:style>
  <w:style w:type="character" w:styleId="CommentReference">
    <w:name w:val="annotation reference"/>
    <w:uiPriority w:val="99"/>
    <w:semiHidden/>
    <w:unhideWhenUsed/>
    <w:rPr>
      <w:sz w:val="16"/>
      <w:szCs w:val="16"/>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CommentSubject">
    <w:name w:val="annotation subject"/>
    <w:basedOn w:val="CommentText"/>
    <w:next w:val="CommentText"/>
    <w:link w:val="CommentSubjectChar"/>
    <w:uiPriority w:val="99"/>
    <w:semiHidden/>
    <w:unhideWhenUsed/>
    <w:pPr>
      <w:spacing w:line="276" w:lineRule="auto"/>
    </w:pPr>
    <w:rPr>
      <w:b/>
      <w:bCs/>
    </w:rPr>
  </w:style>
  <w:style w:type="character" w:customStyle="1" w:styleId="CommentSubjectChar">
    <w:name w:val="Comment Subject Char"/>
    <w:link w:val="CommentSubject"/>
    <w:uiPriority w:val="99"/>
    <w:semiHidden/>
    <w:rPr>
      <w:rFonts w:ascii="Calibri" w:hAnsi="Calibri"/>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929">
      <w:bodyDiv w:val="1"/>
      <w:marLeft w:val="0"/>
      <w:marRight w:val="0"/>
      <w:marTop w:val="0"/>
      <w:marBottom w:val="0"/>
      <w:divBdr>
        <w:top w:val="none" w:sz="0" w:space="0" w:color="auto"/>
        <w:left w:val="none" w:sz="0" w:space="0" w:color="auto"/>
        <w:bottom w:val="none" w:sz="0" w:space="0" w:color="auto"/>
        <w:right w:val="none" w:sz="0" w:space="0" w:color="auto"/>
      </w:divBdr>
    </w:div>
    <w:div w:id="381027463">
      <w:bodyDiv w:val="1"/>
      <w:marLeft w:val="0"/>
      <w:marRight w:val="0"/>
      <w:marTop w:val="0"/>
      <w:marBottom w:val="0"/>
      <w:divBdr>
        <w:top w:val="none" w:sz="0" w:space="0" w:color="auto"/>
        <w:left w:val="none" w:sz="0" w:space="0" w:color="auto"/>
        <w:bottom w:val="none" w:sz="0" w:space="0" w:color="auto"/>
        <w:right w:val="none" w:sz="0" w:space="0" w:color="auto"/>
      </w:divBdr>
    </w:div>
    <w:div w:id="8243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62CB-2837-40CC-B4B0-6232BF7C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609</Words>
  <Characters>3225</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15</cp:revision>
  <dcterms:created xsi:type="dcterms:W3CDTF">2019-01-03T13:34:00Z</dcterms:created>
  <dcterms:modified xsi:type="dcterms:W3CDTF">2019-02-01T09:07:00Z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