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15DDBB2-98B2-4B44-A909-9EC91550A9A6"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СТАНОВИЩЕ НА КОМИСИЯТА</w:t>
      </w:r>
    </w:p>
    <w:p>
      <w:pPr>
        <w:pStyle w:val="Titreobjet"/>
        <w:rPr>
          <w:noProof/>
        </w:rPr>
      </w:pPr>
      <w:r>
        <w:rPr>
          <w:noProof/>
        </w:rPr>
        <w:t>по искането за изменение на Протокол № 5 за Устава на Европейската инвестиционна банка, представено от Европейската инвестиционна банка на 11 октомври 2018 г.</w:t>
      </w:r>
    </w:p>
    <w:p>
      <w:pPr>
        <w:jc w:val="both"/>
        <w:rPr>
          <w:rFonts w:ascii="Times New Roman" w:hAnsi="Times New Roman" w:cs="Times New Roman"/>
          <w:noProof/>
          <w:sz w:val="24"/>
          <w:szCs w:val="24"/>
        </w:rPr>
      </w:pPr>
      <w:r>
        <w:rPr>
          <w:rFonts w:ascii="Times New Roman" w:hAnsi="Times New Roman"/>
          <w:noProof/>
          <w:sz w:val="24"/>
        </w:rPr>
        <w:t>като взе предвид Договора за функционирането на Европейския съюз, и по-специално член 308 от него,</w:t>
      </w:r>
    </w:p>
    <w:p>
      <w:pPr>
        <w:pStyle w:val="NumPar1"/>
        <w:rPr>
          <w:noProof/>
        </w:rPr>
      </w:pPr>
      <w:r>
        <w:rPr>
          <w:noProof/>
        </w:rPr>
        <w:t xml:space="preserve">На 11 октомври 2018 г. Европейската инвестиционна банка представи искане до Съвета съгласно член 308 от Договора за функционирането на Европейския съюз (ДФЕС) за изменение на своя статут. Първо, Европейската инвестиционна банка предлага да измени своя статут, за да бъде отразено оттеглянето на Обединеното кралство от Европейския съюз, което ще сложи край на членството му в Европейската инвестиционна банка. Второ, Европейската инвестиционна банка предлага да бъде укрепено функционирането на нейния съвет на директорите, като се позволи назначаването на по-голям брой заместник-директори. Трето, Европейската инвестиционна банка предлага гласуването с квалифицирано мнозинство да се използва и за вземането на решение относно оперативния план на банката, назначаването на членовете на управителния съвет и одобряването на процедурния правилник. </w:t>
      </w:r>
    </w:p>
    <w:p>
      <w:pPr>
        <w:pStyle w:val="NumPar1"/>
        <w:rPr>
          <w:noProof/>
        </w:rPr>
      </w:pPr>
      <w:r>
        <w:rPr>
          <w:noProof/>
        </w:rPr>
        <w:t xml:space="preserve">Предвижда се всички изменения в нейния устав, предложени от Европейската инвестиционна банка, да влязат в сила незабавно с оттеглянето на Обединеното кралство от Европейския съюз. В съображение от искането се посочва също предвиждано увеличение на капитала, записан от останалите държави членки, което следва да се извърши едновременно с по-нататъшното укрепване на управлението на Европейската инвестиционна банка. </w:t>
      </w:r>
    </w:p>
    <w:p>
      <w:pPr>
        <w:pStyle w:val="NumPar1"/>
        <w:numPr>
          <w:ilvl w:val="0"/>
          <w:numId w:val="0"/>
        </w:numPr>
        <w:ind w:left="720" w:hanging="720"/>
        <w:rPr>
          <w:b/>
          <w:noProof/>
        </w:rPr>
      </w:pPr>
      <w:r>
        <w:rPr>
          <w:b/>
          <w:noProof/>
        </w:rPr>
        <w:t xml:space="preserve">I. </w:t>
      </w:r>
      <w:r>
        <w:rPr>
          <w:noProof/>
        </w:rPr>
        <w:tab/>
      </w:r>
      <w:r>
        <w:rPr>
          <w:b/>
          <w:noProof/>
        </w:rPr>
        <w:t xml:space="preserve">Що се отнася до връзката между искането и оттеглянето на Обединеното кралство от Европейския Съюз </w:t>
      </w:r>
    </w:p>
    <w:p>
      <w:pPr>
        <w:pStyle w:val="NumPar1"/>
        <w:rPr>
          <w:noProof/>
        </w:rPr>
      </w:pPr>
      <w:r>
        <w:rPr>
          <w:noProof/>
        </w:rPr>
        <w:t>Комисията поставя въпроса дали е уместно влизането в сила на цялото решение да се обвързва с оттеглянето на Обединеното кралство от ЕС. Във всеки случай няма правна необходимост планираните изменения на Протокол № 5 да влязат в сила на датата, на която Обединеното кралство вече няма да бъде държава членка.</w:t>
      </w:r>
    </w:p>
    <w:p>
      <w:pPr>
        <w:pStyle w:val="NumPar1"/>
        <w:rPr>
          <w:noProof/>
        </w:rPr>
      </w:pPr>
      <w:r>
        <w:rPr>
          <w:noProof/>
        </w:rPr>
        <w:t>В действителност в искането на Европейската инвестиционна банка се съдържат две различни категории изменения. Първата категория просто отразява последиците от оттеглянето на Обединеното кралство от Съюза, като в член 4, параграф 1 се заличава упоменаването на акционерното участие на Обединеното кралство, броят на членовете на съвета на директорите се намалява в първото изречение на член 9, параграф 2, а в член 9, параграф 2, трета алинея се заличава упоменаването на назначаване на заместник-директори от Обединеното кралство. Комисията може да подкрепи тези промени, но желае да подчертае, че ефектът от тях ще бъде просто с декларативен характер. В действителност оттеглянето на Обединеното кралство от ЕС не изисква предварително изменение на Договорите и протоколите, за да бъдат отстранени всички упоменавания на Обединеното кралство. От датата на оттегляне тези упоменавания автоматично стават неактуални. За разлика от тях, другите изменения, поискани от Европейската инвестиционна банка, в които се съдържат промени в управлението, са с конститутивен характер. Съветът може да прецени, че тези промени са целесъобразни независимо от оттеглянето.</w:t>
      </w:r>
    </w:p>
    <w:p>
      <w:pPr>
        <w:pStyle w:val="NumPar1"/>
        <w:rPr>
          <w:noProof/>
        </w:rPr>
      </w:pPr>
      <w:r>
        <w:rPr>
          <w:noProof/>
        </w:rPr>
        <w:t>Поради това Комисията поставя въпроса дали решението на Съвета следва да влезе в сила на определена дата, която да не е свързана с оттеглянето на Обединеното кралство, например при публикуването в Официален вестник на ЕС. В такъв случай само влизането в сила на декларативните изменения от първата категория биха били свързани с оттеглянето на Обединеното кралство. За този алтернативен подход ще е необходимо известно техническо преформулиране на решението.</w:t>
      </w:r>
    </w:p>
    <w:p>
      <w:pPr>
        <w:pStyle w:val="NumPar1"/>
        <w:numPr>
          <w:ilvl w:val="0"/>
          <w:numId w:val="0"/>
        </w:numPr>
        <w:ind w:left="720" w:hanging="720"/>
        <w:rPr>
          <w:b/>
          <w:noProof/>
        </w:rPr>
      </w:pPr>
      <w:r>
        <w:rPr>
          <w:b/>
          <w:noProof/>
        </w:rPr>
        <w:t xml:space="preserve">II. </w:t>
      </w:r>
      <w:r>
        <w:rPr>
          <w:noProof/>
        </w:rPr>
        <w:tab/>
      </w:r>
      <w:r>
        <w:rPr>
          <w:b/>
          <w:noProof/>
        </w:rPr>
        <w:t xml:space="preserve">Що се отнася до искането да бъдат заличени упоменаванията на капитала, притежаван от Обединеното кралство </w:t>
      </w:r>
    </w:p>
    <w:p>
      <w:pPr>
        <w:pStyle w:val="NumPar1"/>
        <w:rPr>
          <w:noProof/>
        </w:rPr>
      </w:pPr>
      <w:r>
        <w:rPr>
          <w:noProof/>
        </w:rPr>
        <w:t>Европейската инвестиционна банка предлага в член 4, параграф 1 от устава да бъде заличено участието на Обединеното кралство, възлизащо на 39 195 022 000 EUR.</w:t>
      </w:r>
    </w:p>
    <w:p>
      <w:pPr>
        <w:pStyle w:val="NumPar1"/>
        <w:rPr>
          <w:noProof/>
        </w:rPr>
      </w:pPr>
      <w:r>
        <w:rPr>
          <w:noProof/>
        </w:rPr>
        <w:t>Както е посочено по-горе, от правна гледна точка, на датата на оттегляне всички упоменавания на Обединеното кралство в Договорите и протоколите автоматично ще станат неактуални и поради това в този смисъл не е необходимо изрично изменение на устава. Във всеки случай текстът на Договорите и протоколите ще бъде приведен в съответствие с новата ситуация чрез официално изменение съгласно член 48 от ДЕС с цел неактуалните разпоредби да бъдат заличени и да се пристъпи към необходимите промени. Изглежда приемливо обаче да се пристъпи към предложените изменения във връзка с измененията на управлението на Европейската инвестиционна банка (по-долу точки III и IV). По тази причина това изменение може да бъде подкрепено от съображения за яснота.</w:t>
      </w:r>
    </w:p>
    <w:p>
      <w:pPr>
        <w:pStyle w:val="NumPar1"/>
        <w:rPr>
          <w:noProof/>
        </w:rPr>
      </w:pPr>
      <w:r>
        <w:rPr>
          <w:noProof/>
        </w:rPr>
        <w:t xml:space="preserve">Европейската инвестиционна банка предлага също размерът на целия записан капитал, посочен в същия член, да бъде съответно намален, освен ако „останалите държави членки“ решат записаният капитал да бъде увеличен преди датата на оттегляне. Комисията разбира, че това решение ще бъде прието от съвета на гуверньорите на Европейската инвестиционна банка на основание член 4, параграф 3 от нейния устав. </w:t>
      </w:r>
    </w:p>
    <w:p>
      <w:pPr>
        <w:pStyle w:val="NumPar1"/>
        <w:rPr>
          <w:noProof/>
        </w:rPr>
      </w:pPr>
      <w:r>
        <w:rPr>
          <w:noProof/>
        </w:rPr>
        <w:t>Комисията може да подкрепи целта на това предложение, но желае да обърне внимание на следните правни аспекти. Капиталът на Европейската инвестиционна банка, посочен в член 4, параграф 1 от Протокол № 5, представлява общата стойност на дяловете на държавите членки, изброени в тази разпоредба. Ако Съветът просто заличи упоменаването на Обединеното кралство, той трябва да намали общия капитал в съответствие с това. В решението си Съветът не може да вземе предвид евентуално решение на Европейската инвестиционна банка за увеличаване на капитала, нито произтичащото от това ново разпределение между държавите членки. По тази причина в решението на Съвета трябва да се посочи (намаленият) общ капитал в резултат от оттеглянето на Обединеното кралство. С успоредно решение на съвета на гуверньорите на Европейската инвестиционна банка капиталът може да бъде увеличен (и да бъде разпределен пропорционално между държавите членки), но това е отделно решение.</w:t>
      </w:r>
    </w:p>
    <w:p>
      <w:pPr>
        <w:pStyle w:val="NumPar1"/>
        <w:numPr>
          <w:ilvl w:val="0"/>
          <w:numId w:val="0"/>
        </w:numPr>
        <w:ind w:left="720" w:hanging="720"/>
        <w:rPr>
          <w:b/>
          <w:noProof/>
        </w:rPr>
      </w:pPr>
      <w:r>
        <w:rPr>
          <w:b/>
          <w:noProof/>
        </w:rPr>
        <w:t xml:space="preserve">III. </w:t>
      </w:r>
      <w:r>
        <w:rPr>
          <w:noProof/>
        </w:rPr>
        <w:tab/>
      </w:r>
      <w:r>
        <w:rPr>
          <w:b/>
          <w:noProof/>
        </w:rPr>
        <w:t xml:space="preserve">Що се отнася до назначаването на допълнителни заместници в съвета на директорите </w:t>
      </w:r>
    </w:p>
    <w:p>
      <w:pPr>
        <w:pStyle w:val="NumPar1"/>
        <w:rPr>
          <w:noProof/>
        </w:rPr>
      </w:pPr>
      <w:r>
        <w:rPr>
          <w:noProof/>
        </w:rPr>
        <w:t xml:space="preserve">Европейската инвестиционна банка предлага броят на заместниците в съвета на директорите да бъде увеличен от 18 на 31. Германия, Франция и Италия, които вече е имат по двама заместници, ще запазят този брой. Групи държави членки, които преди това са имали по-малко заместник-директори, отколкото акционерите от съответната група, след изменението ще имат толкова заместници, колкото акционери от тази група. Комисията запазва един заместник-директор. </w:t>
      </w:r>
    </w:p>
    <w:p>
      <w:pPr>
        <w:pStyle w:val="NumPar1"/>
        <w:rPr>
          <w:noProof/>
        </w:rPr>
      </w:pPr>
      <w:r>
        <w:rPr>
          <w:noProof/>
        </w:rPr>
        <w:t>Тъй като по-голям брой заместник-директори ще позволи на Европейската инвестиционна банка да се възползва от по-богат опит в съвета на директорите, по-специално с оглед на намерението да се подобри използването на заместник-директорите в процеса на вземане на решения в рамките на съвета на директорите, по-специално що се отнася до анализа на предложения за финансиране, Комисията може да подкрепи това предложение.</w:t>
      </w:r>
    </w:p>
    <w:p>
      <w:pPr>
        <w:pStyle w:val="NumPar1"/>
        <w:numPr>
          <w:ilvl w:val="0"/>
          <w:numId w:val="0"/>
        </w:numPr>
        <w:ind w:left="720" w:hanging="720"/>
        <w:rPr>
          <w:b/>
          <w:noProof/>
        </w:rPr>
      </w:pPr>
      <w:r>
        <w:rPr>
          <w:b/>
          <w:noProof/>
        </w:rPr>
        <w:t>IV.</w:t>
      </w:r>
      <w:r>
        <w:rPr>
          <w:noProof/>
        </w:rPr>
        <w:tab/>
      </w:r>
      <w:r>
        <w:rPr>
          <w:b/>
          <w:noProof/>
        </w:rPr>
        <w:t>Що се отнася до разширяването на гласуването с квалифицирано мнозинство вместо гласуване с обикновено мнозинство</w:t>
      </w:r>
    </w:p>
    <w:p>
      <w:pPr>
        <w:pStyle w:val="NumPar1"/>
        <w:rPr>
          <w:noProof/>
        </w:rPr>
      </w:pPr>
      <w:r>
        <w:rPr>
          <w:noProof/>
        </w:rPr>
        <w:t xml:space="preserve">Европейската инвестиционна банка предлага освен това да се разшири обхватът на гласуването с квалифицирано мнозинство в три важни области, за които понастоящем се изисква обикновено мнозинство. Тези области са: </w:t>
      </w:r>
    </w:p>
    <w:p>
      <w:pPr>
        <w:pStyle w:val="ListParagraph"/>
        <w:numPr>
          <w:ilvl w:val="0"/>
          <w:numId w:val="5"/>
        </w:numPr>
        <w:rPr>
          <w:rFonts w:ascii="Times New Roman" w:hAnsi="Times New Roman" w:cs="Times New Roman"/>
          <w:noProof/>
          <w:sz w:val="24"/>
          <w:szCs w:val="24"/>
        </w:rPr>
      </w:pPr>
      <w:r>
        <w:rPr>
          <w:rFonts w:ascii="Times New Roman" w:hAnsi="Times New Roman"/>
          <w:noProof/>
          <w:sz w:val="24"/>
        </w:rPr>
        <w:t>решенията относно оперативния план на банката (член 9, параграф 1 от устава)</w:t>
      </w:r>
    </w:p>
    <w:p>
      <w:pPr>
        <w:pStyle w:val="ListParagraph"/>
        <w:numPr>
          <w:ilvl w:val="0"/>
          <w:numId w:val="5"/>
        </w:numPr>
        <w:rPr>
          <w:rFonts w:ascii="Times New Roman" w:hAnsi="Times New Roman" w:cs="Times New Roman"/>
          <w:noProof/>
          <w:sz w:val="24"/>
          <w:szCs w:val="24"/>
        </w:rPr>
      </w:pPr>
      <w:r>
        <w:rPr>
          <w:rFonts w:ascii="Times New Roman" w:hAnsi="Times New Roman"/>
          <w:noProof/>
          <w:sz w:val="24"/>
        </w:rPr>
        <w:t>решенията относно номинациите на членовете на управителния съвет от съвета на гуверньорите и съответните предложения от съвета на директорите (член 11, параграф 1, първа алинея от устава)</w:t>
      </w:r>
    </w:p>
    <w:p>
      <w:pPr>
        <w:pStyle w:val="ListParagraph"/>
        <w:numPr>
          <w:ilvl w:val="0"/>
          <w:numId w:val="5"/>
        </w:numPr>
        <w:rPr>
          <w:rFonts w:ascii="Times New Roman" w:hAnsi="Times New Roman" w:cs="Times New Roman"/>
          <w:noProof/>
          <w:sz w:val="24"/>
          <w:szCs w:val="24"/>
        </w:rPr>
      </w:pPr>
      <w:r>
        <w:rPr>
          <w:rFonts w:ascii="Times New Roman" w:hAnsi="Times New Roman"/>
          <w:noProof/>
          <w:sz w:val="24"/>
        </w:rPr>
        <w:t>решенията относно процедурния правилник на Европейската инвестиционна банка (член 7, параграф 3, буква з) от устава).</w:t>
      </w:r>
    </w:p>
    <w:p>
      <w:pPr>
        <w:pStyle w:val="NumPar1"/>
        <w:rPr>
          <w:noProof/>
        </w:rPr>
      </w:pPr>
      <w:r>
        <w:rPr>
          <w:noProof/>
        </w:rPr>
        <w:t xml:space="preserve">Комисията подкрепя целите, които се стреми да постигне това предложение за изменение на устава. </w:t>
      </w:r>
    </w:p>
    <w:p>
      <w:pPr>
        <w:pStyle w:val="ManualHeading4"/>
        <w:rPr>
          <w:b/>
          <w:noProof/>
        </w:rPr>
      </w:pPr>
      <w:r>
        <w:rPr>
          <w:b/>
          <w:noProof/>
        </w:rPr>
        <w:t xml:space="preserve">V. </w:t>
      </w:r>
      <w:r>
        <w:rPr>
          <w:noProof/>
        </w:rPr>
        <w:tab/>
      </w:r>
      <w:r>
        <w:rPr>
          <w:b/>
          <w:noProof/>
        </w:rPr>
        <w:t>Що се отнася до съображенията</w:t>
      </w:r>
    </w:p>
    <w:p>
      <w:pPr>
        <w:pStyle w:val="NumPar1"/>
        <w:rPr>
          <w:noProof/>
        </w:rPr>
      </w:pPr>
      <w:r>
        <w:rPr>
          <w:noProof/>
        </w:rPr>
        <w:t xml:space="preserve">Осмо, девето и десето съображение, доколкото те са предназначени да бъдат включени в решението на Съвета, не съдържат обяснение или обосновка на разпоредителната част на решението, а се отнасят до въпроси, които не налагат промени в устава на Европейската инвестиционна банка. Комисията счита, че тези съображения следва да бъдат леко преформулирани, за да се поясни, че те не са свързани с конкретни разпоредби в разпоредителната част. </w:t>
      </w:r>
    </w:p>
    <w:p>
      <w:pPr>
        <w:pStyle w:val="ManualHeading4"/>
        <w:rPr>
          <w:b/>
          <w:noProof/>
        </w:rPr>
      </w:pPr>
      <w:r>
        <w:rPr>
          <w:b/>
          <w:noProof/>
        </w:rPr>
        <w:t xml:space="preserve">VI. </w:t>
      </w:r>
      <w:r>
        <w:rPr>
          <w:noProof/>
        </w:rPr>
        <w:tab/>
      </w:r>
      <w:r>
        <w:rPr>
          <w:b/>
          <w:noProof/>
        </w:rPr>
        <w:t>Заключение</w:t>
      </w:r>
    </w:p>
    <w:p>
      <w:pPr>
        <w:pStyle w:val="NumPar1"/>
        <w:numPr>
          <w:ilvl w:val="0"/>
          <w:numId w:val="0"/>
        </w:numPr>
        <w:rPr>
          <w:noProof/>
        </w:rPr>
      </w:pPr>
      <w:r>
        <w:rPr>
          <w:noProof/>
        </w:rPr>
        <w:t>С оглед на посоченото по-горе с настоящото Комисията дава положително становище по предложеното изменение на устава на Европейската инвестиционна банка, при условие че бъдат взети предвид съображенията, изразени в настоящото становище.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045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1DDD65EF"/>
    <w:multiLevelType w:val="hybridMultilevel"/>
    <w:tmpl w:val="201E93B6"/>
    <w:lvl w:ilvl="0" w:tplc="E7DEB4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44180"/>
    <w:multiLevelType w:val="multilevel"/>
    <w:tmpl w:val="F25A1B2E"/>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6E1E3547"/>
    <w:multiLevelType w:val="hybridMultilevel"/>
    <w:tmpl w:val="887A18FE"/>
    <w:lvl w:ilvl="0" w:tplc="1F926B1C">
      <w:start w:val="1"/>
      <w:numFmt w:val="lowerRoman"/>
      <w:lvlText w:val="%1)"/>
      <w:lvlJc w:val="left"/>
      <w:pPr>
        <w:ind w:left="1570" w:hanging="72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5">
    <w:nsid w:val="70292734"/>
    <w:multiLevelType w:val="hybridMultilevel"/>
    <w:tmpl w:val="4D065B12"/>
    <w:lvl w:ilvl="0" w:tplc="1108ACDE">
      <w:start w:val="1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 w:numId="7">
    <w:abstractNumId w:val="3"/>
  </w:num>
  <w:num w:numId="8">
    <w:abstractNumId w:val="3"/>
  </w:num>
  <w:num w:numId="9">
    <w:abstractNumId w:val="3"/>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15DDBB2-98B2-4B44-A909-9EC91550A9A6"/>
    <w:docVar w:name="LW_COVERPAGE_TYPE" w:val="1"/>
    <w:docVar w:name="LW_CROSSREFERENCE" w:val="&lt;UNUSED&gt;"/>
    <w:docVar w:name="LW_DocType" w:val="NORMAL"/>
    <w:docVar w:name="LW_EMISSION" w:val="31.1.2019"/>
    <w:docVar w:name="LW_EMISSION_ISODATE" w:val="2019-01-31"/>
    <w:docVar w:name="LW_EMISSION_LOCATION" w:val="BRX"/>
    <w:docVar w:name="LW_EMISSION_PREFIX" w:val="Брюксел, "/>
    <w:docVar w:name="LW_EMISSION_SUFFIX" w:val=" \u1075?."/>
    <w:docVar w:name="LW_ID_DOCTYPE_NONLW" w:val="CP-02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7?\u1086? \u1080?\u1089?\u1082?\u1072?\u1085?\u1077?\u1090?\u1086? \u1079?\u1072? \u1080?\u1079?\u1084?\u1077?\u1085?\u1077?\u1085?\u1080?\u1077? \u1085?\u1072? \u1055?\u1088?\u1086?\u1090?\u1086?\u1082?\u1086?\u1083? \u8470? 5 \u1079?\u1072? \u1059?\u1089?\u1090?\u1072?\u1074?\u1072? \u1085?\u1072? \u1045?\u1074?\u1088?\u1086?\u1087?\u1077?\u1081?\u1089?\u1082?\u1072?\u1090?\u1072? \u1080?\u1085?\u1074?\u1077?\u1089?\u1090?\u1080?\u1094?\u1080?\u1086?\u1085?\u1085?\u1072? \u1073?\u1072?\u1085?\u1082?\u1072?, \u1087?\u1088?\u1077?\u1076?\u1089?\u1090?\u1072?\u1074?\u1077?\u1085?\u1086? \u1086?\u1090? \u1045?\u1074?\u1088?\u1086?\u1087?\u1077?\u1081?\u1089?\u1082?\u1072?\u1090?\u1072? \u1080?\u1085?\u1074?\u1077?\u1089?\u1090?\u1080?\u1094?\u1080?\u1086?\u1085?\u1085?\u1072? \u1073?\u1072?\u1085?\u1082?\u1072? \u1085?\u1072? 11 \u1086?\u1082?\u1090?\u1086?\u1084?\u1074?\u1088?\u1080? 2018 \u1075?."/>
    <w:docVar w:name="LW_TYPE.DOC.CP" w:val="\u1057?\u1058?\u1040?\u1053?\u1054?\u1042?\u1048?\u1065?\u1045?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bg-BG"/>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NumPar1">
    <w:name w:val="NumPar 1"/>
    <w:basedOn w:val="Normal"/>
    <w:next w:val="Normal"/>
    <w:pPr>
      <w:numPr>
        <w:numId w:val="3"/>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3"/>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3"/>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3"/>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bg-BG"/>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NumPar1">
    <w:name w:val="NumPar 1"/>
    <w:basedOn w:val="Normal"/>
    <w:next w:val="Normal"/>
    <w:pPr>
      <w:numPr>
        <w:numId w:val="3"/>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3"/>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3"/>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3"/>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4F1318-3490-4369-9784-7FDEB2BF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7207</Characters>
  <Application>Microsoft Office Word</Application>
  <DocSecurity>0</DocSecurity>
  <Lines>133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2019-01-21T16:48:00Z</dcterms:created>
  <dcterms:modified xsi:type="dcterms:W3CDTF">2019-02-01T16:04:00Z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Last edited using">
    <vt:lpwstr>LW 6.0.1, Build 20180503</vt:lpwstr>
  </property>
  <property fmtid="{D5CDD505-2E9C-101B-9397-08002B2CF9AE}" pid="7" name="Created using">
    <vt:lpwstr>LW 6.0.1, Build 20180503</vt:lpwstr>
  </property>
</Properties>
</file>