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47C" w:rsidRDefault="004D5789" w:rsidP="004D578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2165E5BE-87C3-43DF-A5F1-2E3FFF6180DF" style="width:450.85pt;height:469.65pt">
            <v:imagedata r:id="rId8" o:title=""/>
          </v:shape>
        </w:pict>
      </w:r>
    </w:p>
    <w:bookmarkEnd w:id="0"/>
    <w:p w:rsidR="007E447C" w:rsidRDefault="007E447C">
      <w:pPr>
        <w:jc w:val="both"/>
        <w:rPr>
          <w:rFonts w:ascii="Times New Roman" w:hAnsi="Times New Roman" w:cs="Times New Roman"/>
          <w:noProof/>
        </w:rPr>
        <w:sectPr w:rsidR="007E447C" w:rsidSect="004D5789">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447C">
        <w:tc>
          <w:tcPr>
            <w:tcW w:w="9288" w:type="dxa"/>
            <w:shd w:val="clear" w:color="auto" w:fill="BFBFBF"/>
          </w:tcPr>
          <w:p w:rsidR="007E447C" w:rsidRDefault="004D5789">
            <w:pPr>
              <w:jc w:val="both"/>
              <w:rPr>
                <w:rFonts w:ascii="Times New Roman" w:hAnsi="Times New Roman" w:cs="Times New Roman"/>
                <w:i/>
                <w:noProof/>
              </w:rPr>
            </w:pPr>
            <w:bookmarkStart w:id="1" w:name="_GoBack"/>
            <w:bookmarkEnd w:id="1"/>
            <w:r>
              <w:rPr>
                <w:rFonts w:ascii="Times New Roman" w:hAnsi="Times New Roman" w:cs="Times New Roman"/>
                <w:i/>
                <w:noProof/>
              </w:rPr>
              <w:lastRenderedPageBreak/>
              <w:t xml:space="preserve">The alert mechanism report (AMR) is the starting point of the annual cycle of the macroeconomic imbalance procedure (MIP), which aims to identify and address imbalances that hinder the smooth functioning of the economies of Member States or the economy of </w:t>
            </w:r>
            <w:r>
              <w:rPr>
                <w:rFonts w:ascii="Times New Roman" w:hAnsi="Times New Roman" w:cs="Times New Roman"/>
                <w:i/>
                <w:noProof/>
              </w:rPr>
              <w:t xml:space="preserve">the EU and may jeopardise the proper functioning of the economic and monetary union. </w:t>
            </w:r>
          </w:p>
          <w:p w:rsidR="007E447C" w:rsidRDefault="004D5789">
            <w:pPr>
              <w:jc w:val="both"/>
              <w:rPr>
                <w:rFonts w:ascii="Times New Roman" w:hAnsi="Times New Roman" w:cs="Times New Roman"/>
                <w:noProof/>
              </w:rPr>
            </w:pPr>
            <w:r>
              <w:rPr>
                <w:rFonts w:ascii="Times New Roman" w:hAnsi="Times New Roman" w:cs="Times New Roman"/>
                <w:i/>
                <w:noProof/>
              </w:rPr>
              <w:t>The AMR uses a scoreboard of selected indicators, plus a wider set of auxiliary indicators and additional relevant information, to screen Member States for potential econ</w:t>
            </w:r>
            <w:r>
              <w:rPr>
                <w:rFonts w:ascii="Times New Roman" w:hAnsi="Times New Roman" w:cs="Times New Roman"/>
                <w:i/>
                <w:noProof/>
              </w:rPr>
              <w:t xml:space="preserve">omic imbalances in need of policy action. The AMR identifies Member States for which analysis in an in-depth review (IDR) is needed to assess how macroeconomic risks in the Member States are accumulating or winding down, and to conclude whether imbalances </w:t>
            </w:r>
            <w:r>
              <w:rPr>
                <w:rFonts w:ascii="Times New Roman" w:hAnsi="Times New Roman" w:cs="Times New Roman"/>
                <w:i/>
                <w:noProof/>
              </w:rPr>
              <w:t>or excessive imbalances exist. Taking into account discussions with the European Parliament and within the Council and the Eurogroup on the AMR, the Commission will then prepare IDRs for the Member States concerned. Following established practice, an IDR i</w:t>
            </w:r>
            <w:r>
              <w:rPr>
                <w:rFonts w:ascii="Times New Roman" w:hAnsi="Times New Roman" w:cs="Times New Roman"/>
                <w:i/>
                <w:noProof/>
              </w:rPr>
              <w:t xml:space="preserve">s at any event prepared for Member States for which imbalances were identified in the previous round of IDRs. IDR findings will feed into the country-specific recommendations (CSRs) under the European Semester of economic policy coordination. The IDRs are </w:t>
            </w:r>
            <w:r>
              <w:rPr>
                <w:rFonts w:ascii="Times New Roman" w:hAnsi="Times New Roman" w:cs="Times New Roman"/>
                <w:i/>
                <w:noProof/>
              </w:rPr>
              <w:t>expected to be published in February 2019, ahead of the European Semester package of CSRs.</w:t>
            </w:r>
          </w:p>
        </w:tc>
      </w:tr>
    </w:tbl>
    <w:p w:rsidR="007E447C" w:rsidRDefault="007E447C">
      <w:pPr>
        <w:jc w:val="both"/>
        <w:rPr>
          <w:rFonts w:ascii="Times New Roman" w:hAnsi="Times New Roman" w:cs="Times New Roman"/>
          <w:b/>
          <w:bCs/>
          <w:noProof/>
        </w:rPr>
      </w:pPr>
    </w:p>
    <w:p w:rsidR="007E447C" w:rsidRDefault="004D5789">
      <w:pPr>
        <w:jc w:val="both"/>
        <w:rPr>
          <w:rFonts w:ascii="Times New Roman" w:hAnsi="Times New Roman" w:cs="Times New Roman"/>
          <w:b/>
          <w:bCs/>
          <w:noProof/>
        </w:rPr>
      </w:pPr>
      <w:r>
        <w:rPr>
          <w:rFonts w:ascii="Times New Roman" w:hAnsi="Times New Roman" w:cs="Times New Roman"/>
          <w:b/>
          <w:bCs/>
          <w:noProof/>
        </w:rPr>
        <w:t>1.</w:t>
      </w:r>
      <w:r>
        <w:rPr>
          <w:rFonts w:ascii="Times New Roman" w:hAnsi="Times New Roman" w:cs="Times New Roman"/>
          <w:b/>
          <w:bCs/>
          <w:noProof/>
        </w:rPr>
        <w:tab/>
      </w:r>
      <w:r>
        <w:rPr>
          <w:rFonts w:ascii="Times New Roman Bold" w:eastAsia="MS Gothic" w:hAnsi="Times New Roman Bold" w:cs="Times New Roman"/>
          <w:b/>
          <w:bCs/>
          <w:smallCaps/>
          <w:noProof/>
          <w:lang w:eastAsia="en-GB"/>
        </w:rPr>
        <w:t>Executive summary</w:t>
      </w:r>
    </w:p>
    <w:p w:rsidR="007E447C" w:rsidRDefault="004D5789">
      <w:pPr>
        <w:jc w:val="both"/>
        <w:rPr>
          <w:rFonts w:ascii="Times New Roman" w:hAnsi="Times New Roman" w:cs="Times New Roman"/>
          <w:noProof/>
        </w:rPr>
      </w:pPr>
      <w:r>
        <w:rPr>
          <w:rFonts w:ascii="Times New Roman" w:hAnsi="Times New Roman" w:cs="Times New Roman"/>
          <w:b/>
          <w:noProof/>
        </w:rPr>
        <w:t>This report initiates the eighth annual round of the macroeconomic imbalance procedure (MIP).</w:t>
      </w:r>
      <w:r>
        <w:rPr>
          <w:rFonts w:ascii="Times New Roman" w:hAnsi="Times New Roman" w:cs="Times New Roman"/>
          <w:noProof/>
          <w:vertAlign w:val="superscript"/>
        </w:rPr>
        <w:footnoteReference w:id="1"/>
      </w:r>
      <w:r>
        <w:rPr>
          <w:rFonts w:ascii="Times New Roman" w:hAnsi="Times New Roman" w:cs="Times New Roman"/>
          <w:noProof/>
        </w:rPr>
        <w:t xml:space="preserve"> The procedure aims to identify imbalances that hinder the smooth functioning of Member State economies and to spur appropriate policy responses. The implementation of the MIP is embedded in the European semester of economic policy coordination so as to en</w:t>
      </w:r>
      <w:r>
        <w:rPr>
          <w:rFonts w:ascii="Times New Roman" w:hAnsi="Times New Roman" w:cs="Times New Roman"/>
          <w:noProof/>
        </w:rPr>
        <w:t>sure consistency with the analyses and recommendations made under other economic surveillance tools. The annual growth survey (AGS), which is adopted at the same time as this report, takes stock of the economic and social situation in Europe and sets out b</w:t>
      </w:r>
      <w:r>
        <w:rPr>
          <w:rFonts w:ascii="Times New Roman" w:hAnsi="Times New Roman" w:cs="Times New Roman"/>
          <w:noProof/>
        </w:rPr>
        <w:t>road policy priorities for the EU as a whole for the coming year.</w:t>
      </w:r>
    </w:p>
    <w:p w:rsidR="007E447C" w:rsidRDefault="004D5789">
      <w:pPr>
        <w:jc w:val="both"/>
        <w:rPr>
          <w:rFonts w:ascii="Times New Roman" w:hAnsi="Times New Roman" w:cs="Times New Roman"/>
          <w:noProof/>
        </w:rPr>
      </w:pPr>
      <w:r>
        <w:rPr>
          <w:rFonts w:ascii="Times New Roman" w:hAnsi="Times New Roman" w:cs="Times New Roman"/>
          <w:b/>
          <w:noProof/>
        </w:rPr>
        <w:t>The report identifies Member States for which in-depth reviews (IDRs) should be undertaken to assess whether they are affected by imbalances in need of policy action.</w:t>
      </w:r>
      <w:r>
        <w:rPr>
          <w:rFonts w:ascii="Times New Roman" w:hAnsi="Times New Roman" w:cs="Times New Roman"/>
          <w:noProof/>
          <w:vertAlign w:val="superscript"/>
        </w:rPr>
        <w:footnoteReference w:id="2"/>
      </w:r>
      <w:r>
        <w:rPr>
          <w:rFonts w:ascii="Times New Roman" w:hAnsi="Times New Roman" w:cs="Times New Roman"/>
          <w:noProof/>
        </w:rPr>
        <w:t xml:space="preserve"> The alert mechanism re</w:t>
      </w:r>
      <w:r>
        <w:rPr>
          <w:rFonts w:ascii="Times New Roman" w:hAnsi="Times New Roman" w:cs="Times New Roman"/>
          <w:noProof/>
        </w:rPr>
        <w:t>port (AMR) is a screening device for economic imbalances, published at the start of each annual cycle of economic policy coordination. In particular, it is based on an economic reading of a scoreboard of indicators with indicative thresholds, alongside a s</w:t>
      </w:r>
      <w:r>
        <w:rPr>
          <w:rFonts w:ascii="Times New Roman" w:hAnsi="Times New Roman" w:cs="Times New Roman"/>
          <w:noProof/>
        </w:rPr>
        <w:t>et of auxiliary indicators. The AMR also includes an analysis of the euro-area wide implications of Member Statesʼ imbalances and examines the extent to which a coordinated approach to policy responses is needed in light of interdependencies within the eur</w:t>
      </w:r>
      <w:r>
        <w:rPr>
          <w:rFonts w:ascii="Times New Roman" w:hAnsi="Times New Roman" w:cs="Times New Roman"/>
          <w:noProof/>
        </w:rPr>
        <w:t>o area.</w:t>
      </w:r>
      <w:r>
        <w:rPr>
          <w:rFonts w:ascii="Times New Roman" w:hAnsi="Times New Roman" w:cs="Times New Roman"/>
          <w:noProof/>
          <w:vertAlign w:val="superscript"/>
        </w:rPr>
        <w:footnoteReference w:id="3"/>
      </w:r>
      <w:r>
        <w:rPr>
          <w:rFonts w:ascii="Times New Roman" w:hAnsi="Times New Roman" w:cs="Times New Roman"/>
          <w:noProof/>
        </w:rPr>
        <w:t xml:space="preserve"> In this particular respect, the analysis contained in this report complements the assessment provided in the European Commission Staff Working Document "Analysis of the Euro Area economy", accompanying the Commission Recommendation for a Council R</w:t>
      </w:r>
      <w:r>
        <w:rPr>
          <w:rFonts w:ascii="Times New Roman" w:hAnsi="Times New Roman" w:cs="Times New Roman"/>
          <w:noProof/>
        </w:rPr>
        <w:t>ecommendation on the economic policy of the Euro Area.</w:t>
      </w:r>
    </w:p>
    <w:p w:rsidR="007E447C" w:rsidRDefault="004D5789">
      <w:pPr>
        <w:jc w:val="both"/>
        <w:rPr>
          <w:rFonts w:ascii="Times New Roman" w:hAnsi="Times New Roman" w:cs="Times New Roman"/>
          <w:noProof/>
        </w:rPr>
      </w:pPr>
      <w:r>
        <w:rPr>
          <w:rFonts w:ascii="Times New Roman" w:hAnsi="Times New Roman" w:cs="Times New Roman"/>
          <w:b/>
          <w:noProof/>
        </w:rPr>
        <w:lastRenderedPageBreak/>
        <w:t xml:space="preserve">The AMR assessment is set against the backdrop of economic growth that remains broad-based despite some deceleration. </w:t>
      </w:r>
      <w:r>
        <w:rPr>
          <w:rFonts w:ascii="Times New Roman" w:hAnsi="Times New Roman" w:cs="Times New Roman"/>
          <w:noProof/>
        </w:rPr>
        <w:t xml:space="preserve">The European Commission autumn 2018 economic forecast estimates real GDP growth to </w:t>
      </w:r>
      <w:r>
        <w:rPr>
          <w:rFonts w:ascii="Times New Roman" w:hAnsi="Times New Roman" w:cs="Times New Roman"/>
          <w:noProof/>
        </w:rPr>
        <w:t>be 2.1% in 2018 and 1.9% in 2019 for both the EU and the euro area, slightly decelerating as compared with the 2.4% growth recorded in 2017. Positive growth is expected in all Member States. Employment conditions are expected to improve further and to grad</w:t>
      </w:r>
      <w:r>
        <w:rPr>
          <w:rFonts w:ascii="Times New Roman" w:hAnsi="Times New Roman" w:cs="Times New Roman"/>
          <w:noProof/>
        </w:rPr>
        <w:t>ually translate into more sustained wage growth, which would support consumption and underpin, over time, core inflation dynamics approaching the inflation target of monetary authorities; investment growth is expected to remain robust despite a slight dece</w:t>
      </w:r>
      <w:r>
        <w:rPr>
          <w:rFonts w:ascii="Times New Roman" w:hAnsi="Times New Roman" w:cs="Times New Roman"/>
          <w:noProof/>
        </w:rPr>
        <w:t xml:space="preserve">leration. Conversely, there are indications of a softening contribution of net exports to growth, amid increased uncertainty on the trade policy environment and the unfolding of the recent euro appreciation. All in all, growth prospects remain anchored on </w:t>
      </w:r>
      <w:r>
        <w:rPr>
          <w:rFonts w:ascii="Times New Roman" w:hAnsi="Times New Roman" w:cs="Times New Roman"/>
          <w:noProof/>
        </w:rPr>
        <w:t>sound fundamentals, including overall strong labour markets, supportive credit conditions, improved balance sheets and profits of banks and non-financial corporations, but are set to decelerate as the cycle in main world areas matures.</w:t>
      </w:r>
      <w:r>
        <w:rPr>
          <w:rStyle w:val="FootnoteReference"/>
          <w:rFonts w:ascii="Times New Roman" w:hAnsi="Times New Roman" w:cs="Times New Roman"/>
          <w:noProof/>
        </w:rPr>
        <w:footnoteReference w:id="4"/>
      </w:r>
      <w:r>
        <w:rPr>
          <w:rFonts w:ascii="Times New Roman" w:hAnsi="Times New Roman" w:cs="Times New Roman"/>
          <w:noProof/>
        </w:rPr>
        <w:t xml:space="preserve"> </w:t>
      </w:r>
    </w:p>
    <w:p w:rsidR="007E447C" w:rsidRDefault="004D5789">
      <w:pPr>
        <w:jc w:val="both"/>
        <w:rPr>
          <w:rFonts w:ascii="Times New Roman" w:hAnsi="Times New Roman" w:cs="Times New Roman"/>
          <w:noProof/>
        </w:rPr>
      </w:pPr>
      <w:r>
        <w:rPr>
          <w:rFonts w:ascii="Times New Roman" w:hAnsi="Times New Roman" w:cs="Times New Roman"/>
          <w:b/>
          <w:noProof/>
        </w:rPr>
        <w:t xml:space="preserve">The correction of </w:t>
      </w:r>
      <w:r>
        <w:rPr>
          <w:rFonts w:ascii="Times New Roman" w:hAnsi="Times New Roman" w:cs="Times New Roman"/>
          <w:b/>
          <w:noProof/>
        </w:rPr>
        <w:t>macroeconomic imbalances in the EU is progressing on the back of strengthening nominal GDP growth, but the medium-term horizon is clouded by heightened uncertainty</w:t>
      </w:r>
      <w:r>
        <w:rPr>
          <w:rFonts w:ascii="Times New Roman" w:hAnsi="Times New Roman" w:cs="Times New Roman"/>
          <w:noProof/>
        </w:rPr>
        <w:t xml:space="preserve">. The economic expansion and inflation rates gradually approaching target help the reduction </w:t>
      </w:r>
      <w:r>
        <w:rPr>
          <w:rFonts w:ascii="Times New Roman" w:hAnsi="Times New Roman" w:cs="Times New Roman"/>
          <w:noProof/>
        </w:rPr>
        <w:t>of debt-to-GDP ratios. However, private and government debt stocks remain at historically high levels, and pockets of balance-sheet vulnerabilities in the financial sector persist. As inflation gradually approaches the ECB target, the case for monetary pol</w:t>
      </w:r>
      <w:r>
        <w:rPr>
          <w:rFonts w:ascii="Times New Roman" w:hAnsi="Times New Roman" w:cs="Times New Roman"/>
          <w:noProof/>
        </w:rPr>
        <w:t>icy normalisation would strengthen, with implications for borrowing costs, asset prices and balance sheets. Against that background, a number of triggers could lead to a reversal in risk attitudes, with confidence effects affecting Member States with worse</w:t>
      </w:r>
      <w:r>
        <w:rPr>
          <w:rFonts w:ascii="Times New Roman" w:hAnsi="Times New Roman" w:cs="Times New Roman"/>
          <w:noProof/>
        </w:rPr>
        <w:t>ned prospects for public finances or the financial sector, or subject to negative output shocks (including linked to the implications of the United Kingdom withdrawal from the EU). A number of downward risks emanate from the extra-EU environment, notably r</w:t>
      </w:r>
      <w:r>
        <w:rPr>
          <w:rFonts w:ascii="Times New Roman" w:hAnsi="Times New Roman" w:cs="Times New Roman"/>
          <w:noProof/>
        </w:rPr>
        <w:t>elating to the materialisation of protectionist trade policy measures, implications of geo-political tensions notably for energy prices, the coming to an end of the US fiscal expansion in a context of monetary tightening, and the implications for capital f</w:t>
      </w:r>
      <w:r>
        <w:rPr>
          <w:rFonts w:ascii="Times New Roman" w:hAnsi="Times New Roman" w:cs="Times New Roman"/>
          <w:noProof/>
        </w:rPr>
        <w:t>lows and exchange rates arising from the asynchronous monetary policy normalisation across different areas of the world economy.</w:t>
      </w:r>
      <w:r>
        <w:rPr>
          <w:rStyle w:val="FootnoteReference"/>
          <w:rFonts w:ascii="Times New Roman" w:hAnsi="Times New Roman" w:cs="Times New Roman"/>
          <w:noProof/>
        </w:rPr>
        <w:footnoteReference w:id="5"/>
      </w:r>
      <w:r>
        <w:rPr>
          <w:rFonts w:ascii="Times New Roman" w:hAnsi="Times New Roman" w:cs="Times New Roman"/>
          <w:noProof/>
        </w:rPr>
        <w:t xml:space="preserve"> The interplay among those sources of risks is tilting the balance of risks downward, and making the outlook increasingly uncer</w:t>
      </w:r>
      <w:r>
        <w:rPr>
          <w:rFonts w:ascii="Times New Roman" w:hAnsi="Times New Roman" w:cs="Times New Roman"/>
          <w:noProof/>
        </w:rPr>
        <w:t>tain, in a context where the possibility of cushioning shocks via private and public savings is limited in a relevant number of Member States.</w:t>
      </w:r>
    </w:p>
    <w:p w:rsidR="007E447C" w:rsidRDefault="004D5789">
      <w:pPr>
        <w:jc w:val="both"/>
        <w:rPr>
          <w:rFonts w:ascii="Times New Roman" w:hAnsi="Times New Roman" w:cs="Times New Roman"/>
          <w:b/>
          <w:noProof/>
        </w:rPr>
      </w:pPr>
      <w:r>
        <w:rPr>
          <w:rFonts w:ascii="Times New Roman" w:hAnsi="Times New Roman" w:cs="Times New Roman"/>
          <w:b/>
          <w:noProof/>
        </w:rPr>
        <w:t>The horizontal analysis presented in the AMR leads to a number of conclusions:</w:t>
      </w:r>
    </w:p>
    <w:p w:rsidR="007E447C" w:rsidRDefault="004D5789">
      <w:pPr>
        <w:numPr>
          <w:ilvl w:val="0"/>
          <w:numId w:val="1"/>
        </w:numPr>
        <w:jc w:val="both"/>
        <w:rPr>
          <w:rFonts w:ascii="Times New Roman" w:hAnsi="Times New Roman" w:cs="Times New Roman"/>
          <w:noProof/>
        </w:rPr>
      </w:pPr>
      <w:r>
        <w:rPr>
          <w:rFonts w:ascii="Times New Roman" w:hAnsi="Times New Roman" w:cs="Times New Roman"/>
          <w:b/>
          <w:noProof/>
        </w:rPr>
        <w:t>The rebalancing of current account</w:t>
      </w:r>
      <w:r>
        <w:rPr>
          <w:rFonts w:ascii="Times New Roman" w:hAnsi="Times New Roman" w:cs="Times New Roman"/>
          <w:b/>
          <w:noProof/>
        </w:rPr>
        <w:t xml:space="preserve"> positions needs to continue.</w:t>
      </w:r>
      <w:r>
        <w:rPr>
          <w:rFonts w:ascii="Times New Roman" w:hAnsi="Times New Roman" w:cs="Times New Roman"/>
          <w:noProof/>
        </w:rPr>
        <w:t xml:space="preserve"> Large current account deficits have been corrected in most Member States, but in a few cases more prudent external positions are required to maintain an appropriate pace of reduction for the stocks of net foreign liabilities. </w:t>
      </w:r>
      <w:r>
        <w:rPr>
          <w:rFonts w:ascii="Times New Roman" w:hAnsi="Times New Roman" w:cs="Times New Roman"/>
          <w:noProof/>
        </w:rPr>
        <w:t xml:space="preserve">The reduction of some of the largest current account surpluses have become visible only recently and remain modest. In a number of Member States, current account figures are increasingly affected by </w:t>
      </w:r>
      <w:r>
        <w:rPr>
          <w:rFonts w:ascii="Times New Roman" w:eastAsia="Times New Roman" w:hAnsi="Times New Roman" w:cs="Times New Roman"/>
          <w:noProof/>
          <w:lang w:eastAsia="en-GB"/>
        </w:rPr>
        <w:t>cross-border transactions linked to the activities of mul</w:t>
      </w:r>
      <w:r>
        <w:rPr>
          <w:rFonts w:ascii="Times New Roman" w:eastAsia="Times New Roman" w:hAnsi="Times New Roman" w:cs="Times New Roman"/>
          <w:noProof/>
          <w:lang w:eastAsia="en-GB"/>
        </w:rPr>
        <w:t xml:space="preserve">tinational corporations and </w:t>
      </w:r>
      <w:r>
        <w:rPr>
          <w:rFonts w:ascii="Times New Roman" w:hAnsi="Times New Roman" w:cs="Times New Roman"/>
          <w:noProof/>
        </w:rPr>
        <w:t>of internationally-oriented service sectors that affect both the trade and income balances.</w:t>
      </w:r>
    </w:p>
    <w:p w:rsidR="007E447C" w:rsidRDefault="004D5789">
      <w:pPr>
        <w:numPr>
          <w:ilvl w:val="0"/>
          <w:numId w:val="1"/>
        </w:numPr>
        <w:jc w:val="both"/>
        <w:rPr>
          <w:rFonts w:ascii="Times New Roman" w:hAnsi="Times New Roman" w:cs="Times New Roman"/>
          <w:noProof/>
        </w:rPr>
      </w:pPr>
      <w:r>
        <w:rPr>
          <w:rFonts w:ascii="Times New Roman" w:hAnsi="Times New Roman" w:cs="Times New Roman"/>
          <w:b/>
          <w:noProof/>
        </w:rPr>
        <w:t xml:space="preserve">External stock positions remain unbalanced, and adjustment is taking place gradually. </w:t>
      </w:r>
      <w:r>
        <w:rPr>
          <w:rFonts w:ascii="Times New Roman" w:hAnsi="Times New Roman" w:cs="Times New Roman"/>
          <w:noProof/>
        </w:rPr>
        <w:t>The large negative net international investment po</w:t>
      </w:r>
      <w:r>
        <w:rPr>
          <w:rFonts w:ascii="Times New Roman" w:hAnsi="Times New Roman" w:cs="Times New Roman"/>
          <w:noProof/>
        </w:rPr>
        <w:t xml:space="preserve">sitions (NIIP) recorded in Member States </w:t>
      </w:r>
      <w:r>
        <w:rPr>
          <w:rFonts w:ascii="Times New Roman" w:hAnsi="Times New Roman" w:cs="Times New Roman"/>
          <w:noProof/>
        </w:rPr>
        <w:lastRenderedPageBreak/>
        <w:t>with a past of large current account deficits are under correction on the back of external flow positions close to balance or in surplus and resumed nominal GDP growth, which need to be sustained to achieve a reduct</w:t>
      </w:r>
      <w:r>
        <w:rPr>
          <w:rFonts w:ascii="Times New Roman" w:hAnsi="Times New Roman" w:cs="Times New Roman"/>
          <w:noProof/>
        </w:rPr>
        <w:t xml:space="preserve">ion of liabilities to more prudent levels. NIIPs in countries with large surpluses continue growing. </w:t>
      </w:r>
    </w:p>
    <w:p w:rsidR="007E447C" w:rsidRDefault="004D5789">
      <w:pPr>
        <w:numPr>
          <w:ilvl w:val="0"/>
          <w:numId w:val="1"/>
        </w:numPr>
        <w:jc w:val="both"/>
        <w:rPr>
          <w:rFonts w:ascii="Times New Roman" w:hAnsi="Times New Roman" w:cs="Times New Roman"/>
          <w:noProof/>
        </w:rPr>
      </w:pPr>
      <w:r>
        <w:rPr>
          <w:rFonts w:ascii="Times New Roman" w:hAnsi="Times New Roman" w:cs="Times New Roman"/>
          <w:b/>
          <w:noProof/>
        </w:rPr>
        <w:t xml:space="preserve">Cost competitiveness conditions are becoming less favourable for a number of Member States, and overall less supportive of more symmetric rebalancing. </w:t>
      </w:r>
      <w:r>
        <w:rPr>
          <w:rFonts w:ascii="Times New Roman" w:hAnsi="Times New Roman" w:cs="Times New Roman"/>
          <w:noProof/>
        </w:rPr>
        <w:t>Sin</w:t>
      </w:r>
      <w:r>
        <w:rPr>
          <w:rFonts w:ascii="Times New Roman" w:hAnsi="Times New Roman" w:cs="Times New Roman"/>
          <w:noProof/>
        </w:rPr>
        <w:t>ce 2016,</w:t>
      </w:r>
      <w:r>
        <w:rPr>
          <w:rFonts w:ascii="Times New Roman" w:hAnsi="Times New Roman" w:cs="Times New Roman"/>
          <w:b/>
          <w:noProof/>
        </w:rPr>
        <w:t xml:space="preserve"> </w:t>
      </w:r>
      <w:r>
        <w:rPr>
          <w:rFonts w:ascii="Times New Roman" w:hAnsi="Times New Roman" w:cs="Times New Roman"/>
          <w:noProof/>
        </w:rPr>
        <w:t>unit labour costs are growing at a faster rate in a majority of Member States, with strong accelerations recorded especially in a number of EU countries in central and eastern Europe partly due to supply bottlenecks. Post-crisis cost competitivene</w:t>
      </w:r>
      <w:r>
        <w:rPr>
          <w:rFonts w:ascii="Times New Roman" w:hAnsi="Times New Roman" w:cs="Times New Roman"/>
          <w:noProof/>
        </w:rPr>
        <w:t xml:space="preserve">ss gains were faster in euro-area net-debtor countries than in net-creditor countries. However, more recently, the advantage of net-debtor countries in terms of cost competitiveness dynamics has slowed in comparative terms due to tightening labour markets </w:t>
      </w:r>
      <w:r>
        <w:rPr>
          <w:rFonts w:ascii="Times New Roman" w:hAnsi="Times New Roman" w:cs="Times New Roman"/>
          <w:noProof/>
        </w:rPr>
        <w:t>and a reduced pace of productivity improvements, while tight labour markets in net-creditor countries have not translated so far into significant wage accelerations. Those recent cost competitiveness evolutions are not fully reflected in a corresponding de</w:t>
      </w:r>
      <w:r>
        <w:rPr>
          <w:rFonts w:ascii="Times New Roman" w:hAnsi="Times New Roman" w:cs="Times New Roman"/>
          <w:noProof/>
        </w:rPr>
        <w:t xml:space="preserve">terioration in price competitiveness, possibly owing to a compensating effect by lower price-cost margins. That effect could be among the reasons why there is no prima-facie evidence suggesting the cost competitiveness losses have already dented on export </w:t>
      </w:r>
      <w:r>
        <w:rPr>
          <w:rFonts w:ascii="Times New Roman" w:hAnsi="Times New Roman" w:cs="Times New Roman"/>
          <w:noProof/>
        </w:rPr>
        <w:t>market share growth, but effects could become visible if such trends persist.</w:t>
      </w:r>
    </w:p>
    <w:p w:rsidR="007E447C" w:rsidRDefault="004D5789">
      <w:pPr>
        <w:numPr>
          <w:ilvl w:val="0"/>
          <w:numId w:val="1"/>
        </w:numPr>
        <w:jc w:val="both"/>
        <w:rPr>
          <w:rFonts w:ascii="Times New Roman" w:hAnsi="Times New Roman" w:cs="Times New Roman"/>
          <w:noProof/>
        </w:rPr>
      </w:pPr>
      <w:r>
        <w:rPr>
          <w:rFonts w:ascii="Times New Roman" w:hAnsi="Times New Roman" w:cs="Times New Roman"/>
          <w:b/>
          <w:noProof/>
        </w:rPr>
        <w:t xml:space="preserve">Private sector deleveraging is ongoing, increasingly on the back of resumed nominal growth. </w:t>
      </w:r>
      <w:r>
        <w:rPr>
          <w:rFonts w:ascii="Times New Roman" w:hAnsi="Times New Roman" w:cs="Times New Roman"/>
          <w:noProof/>
        </w:rPr>
        <w:t>Private debt-to-GDP ratios are falling in a higher number of Member States as compared</w:t>
      </w:r>
      <w:r>
        <w:rPr>
          <w:rFonts w:ascii="Times New Roman" w:hAnsi="Times New Roman" w:cs="Times New Roman"/>
          <w:noProof/>
        </w:rPr>
        <w:t xml:space="preserve"> with one year ago. This is due to higher nominal GDP growth, as active deleveraging, i.e. deleveraging on the back of contracting debt levels in nominal terms, is taking place in few countries only, and at subdued pace. Active deleveraging is mostly confi</w:t>
      </w:r>
      <w:r>
        <w:rPr>
          <w:rFonts w:ascii="Times New Roman" w:hAnsi="Times New Roman" w:cs="Times New Roman"/>
          <w:noProof/>
        </w:rPr>
        <w:t>ned to the corporate sector as borrowing by households has regained more dynamism. The pace of deleveraging remains faster in the corporate sector than in the household sector, also because debt stocks are higher in the former and thereby the impact of nom</w:t>
      </w:r>
      <w:r>
        <w:rPr>
          <w:rFonts w:ascii="Times New Roman" w:hAnsi="Times New Roman" w:cs="Times New Roman"/>
          <w:noProof/>
        </w:rPr>
        <w:t xml:space="preserve">inal GDP growth on the debt ratio is stronger. </w:t>
      </w:r>
    </w:p>
    <w:p w:rsidR="007E447C" w:rsidRDefault="004D5789">
      <w:pPr>
        <w:numPr>
          <w:ilvl w:val="0"/>
          <w:numId w:val="1"/>
        </w:numPr>
        <w:jc w:val="both"/>
        <w:rPr>
          <w:rFonts w:ascii="Times New Roman" w:hAnsi="Times New Roman" w:cs="Times New Roman"/>
          <w:noProof/>
        </w:rPr>
      </w:pPr>
      <w:r>
        <w:rPr>
          <w:rFonts w:ascii="Times New Roman" w:hAnsi="Times New Roman" w:cs="Times New Roman"/>
          <w:b/>
          <w:noProof/>
        </w:rPr>
        <w:t>In countries with high levels of public debt, deleveraging by governments has started only recently and proceeds at low pace</w:t>
      </w:r>
      <w:r>
        <w:rPr>
          <w:rFonts w:ascii="Times New Roman" w:hAnsi="Times New Roman" w:cs="Times New Roman"/>
          <w:noProof/>
        </w:rPr>
        <w:t>. Despite resumed nominal growth and reduced interest payments having contributed to</w:t>
      </w:r>
      <w:r>
        <w:rPr>
          <w:rFonts w:ascii="Times New Roman" w:hAnsi="Times New Roman" w:cs="Times New Roman"/>
          <w:noProof/>
        </w:rPr>
        <w:t xml:space="preserve"> bring government debt-to-GDP ratios on a downward path in most Member States, pro-cyclical fiscal loosening is taking place in a growing number of countries, with implications on the room for cushioning shocks in bad times. </w:t>
      </w:r>
    </w:p>
    <w:p w:rsidR="007E447C" w:rsidRDefault="004D5789">
      <w:pPr>
        <w:numPr>
          <w:ilvl w:val="0"/>
          <w:numId w:val="1"/>
        </w:numPr>
        <w:jc w:val="both"/>
        <w:rPr>
          <w:rFonts w:ascii="Times New Roman" w:hAnsi="Times New Roman" w:cs="Times New Roman"/>
          <w:noProof/>
        </w:rPr>
      </w:pPr>
      <w:r>
        <w:rPr>
          <w:rFonts w:ascii="Times New Roman" w:eastAsia="Times New Roman" w:hAnsi="Times New Roman" w:cs="Times New Roman"/>
          <w:b/>
          <w:noProof/>
          <w:lang w:eastAsia="en-GB"/>
        </w:rPr>
        <w:t>Conditions in the EU banking s</w:t>
      </w:r>
      <w:r>
        <w:rPr>
          <w:rFonts w:ascii="Times New Roman" w:eastAsia="Times New Roman" w:hAnsi="Times New Roman" w:cs="Times New Roman"/>
          <w:b/>
          <w:noProof/>
          <w:lang w:eastAsia="en-GB"/>
        </w:rPr>
        <w:t xml:space="preserve">ector are improving but low levels of profitability and large stocks of non-performing loans (NPLs) persist in some Member States. </w:t>
      </w:r>
      <w:r>
        <w:rPr>
          <w:rFonts w:ascii="Times New Roman" w:hAnsi="Times New Roman" w:cs="Times New Roman"/>
          <w:noProof/>
        </w:rPr>
        <w:t xml:space="preserve">Profitability has improved especially in the countries where the banking sector is characterised by weak profitability. NPLs </w:t>
      </w:r>
      <w:r>
        <w:rPr>
          <w:rFonts w:ascii="Times New Roman" w:hAnsi="Times New Roman" w:cs="Times New Roman"/>
          <w:noProof/>
        </w:rPr>
        <w:t>ratios have further declined, notably in the Member States where their stock is the highest. Capitalisation ratios have further improved in a majority of countries. Banks equity valuations grew until early 2018, and a downward correction took place afterwa</w:t>
      </w:r>
      <w:r>
        <w:rPr>
          <w:rFonts w:ascii="Times New Roman" w:hAnsi="Times New Roman" w:cs="Times New Roman"/>
          <w:noProof/>
        </w:rPr>
        <w:t xml:space="preserve">rds. </w:t>
      </w:r>
    </w:p>
    <w:p w:rsidR="007E447C" w:rsidRDefault="004D5789">
      <w:pPr>
        <w:pStyle w:val="ListParagraph"/>
        <w:numPr>
          <w:ilvl w:val="0"/>
          <w:numId w:val="14"/>
        </w:numPr>
        <w:jc w:val="both"/>
        <w:rPr>
          <w:rFonts w:ascii="Times New Roman" w:hAnsi="Times New Roman" w:cs="Times New Roman"/>
          <w:noProof/>
        </w:rPr>
      </w:pPr>
      <w:r>
        <w:rPr>
          <w:rFonts w:ascii="Times New Roman" w:hAnsi="Times New Roman" w:cs="Times New Roman"/>
          <w:b/>
          <w:noProof/>
        </w:rPr>
        <w:t xml:space="preserve">House price growth has accelerated and turned positive in a growing number of Member States, and more countries are exhibiting possible signs of overvaluations. </w:t>
      </w:r>
      <w:r>
        <w:rPr>
          <w:rFonts w:ascii="Times New Roman" w:hAnsi="Times New Roman" w:cs="Times New Roman"/>
          <w:noProof/>
        </w:rPr>
        <w:t>At the same time, house price growth has recently moderated in the countries where the ev</w:t>
      </w:r>
      <w:r>
        <w:rPr>
          <w:rFonts w:ascii="Times New Roman" w:hAnsi="Times New Roman" w:cs="Times New Roman"/>
          <w:noProof/>
        </w:rPr>
        <w:t xml:space="preserve">idence of overvaluation is the highest. Conversely, strong accelerations are observed especially in countries that, at present, show no or moderate evidence of overvaluation. </w:t>
      </w:r>
    </w:p>
    <w:p w:rsidR="007E447C" w:rsidRDefault="004D5789">
      <w:pPr>
        <w:numPr>
          <w:ilvl w:val="0"/>
          <w:numId w:val="1"/>
        </w:numPr>
        <w:jc w:val="both"/>
        <w:rPr>
          <w:rFonts w:ascii="Times New Roman" w:hAnsi="Times New Roman" w:cs="Times New Roman"/>
          <w:noProof/>
        </w:rPr>
      </w:pPr>
      <w:r>
        <w:rPr>
          <w:rFonts w:ascii="Times New Roman" w:hAnsi="Times New Roman" w:cs="Times New Roman"/>
          <w:b/>
          <w:noProof/>
        </w:rPr>
        <w:lastRenderedPageBreak/>
        <w:t xml:space="preserve">Labour markets continue improving and wage growth is gradually resuming. </w:t>
      </w:r>
      <w:r>
        <w:rPr>
          <w:rFonts w:ascii="Times New Roman" w:hAnsi="Times New Roman" w:cs="Times New Roman"/>
          <w:noProof/>
        </w:rPr>
        <w:t>Unemplo</w:t>
      </w:r>
      <w:r>
        <w:rPr>
          <w:rFonts w:ascii="Times New Roman" w:hAnsi="Times New Roman" w:cs="Times New Roman"/>
          <w:noProof/>
        </w:rPr>
        <w:t>yment rates are further declining, including for youth and long-term unemployed, but joblessness remains high in some Member States and labour market participation low albeit often increasing. Social distress is receding despite the legacy of protracted jo</w:t>
      </w:r>
      <w:r>
        <w:rPr>
          <w:rFonts w:ascii="Times New Roman" w:hAnsi="Times New Roman" w:cs="Times New Roman"/>
          <w:noProof/>
        </w:rPr>
        <w:t>blessness and reduced earnings in a number of countries.</w:t>
      </w:r>
      <w:r>
        <w:rPr>
          <w:rStyle w:val="FootnoteReference"/>
          <w:rFonts w:ascii="Times New Roman" w:hAnsi="Times New Roman" w:cs="Times New Roman"/>
          <w:noProof/>
        </w:rPr>
        <w:footnoteReference w:id="6"/>
      </w:r>
      <w:r>
        <w:rPr>
          <w:rFonts w:ascii="Times New Roman" w:hAnsi="Times New Roman" w:cs="Times New Roman"/>
          <w:noProof/>
        </w:rPr>
        <w:t xml:space="preserve"> Wage growth at euro-area level remains below what would be expected at the current levels of unemployment on the basis of historical data. Wages in EU countries are however, gradually resuming at di</w:t>
      </w:r>
      <w:r>
        <w:rPr>
          <w:rFonts w:ascii="Times New Roman" w:hAnsi="Times New Roman" w:cs="Times New Roman"/>
          <w:noProof/>
        </w:rPr>
        <w:t xml:space="preserve">fferentiated speeds that broadly reflect the extent of labour market tightness and labour supply bottlenecks in some countries. </w:t>
      </w:r>
    </w:p>
    <w:p w:rsidR="007E447C" w:rsidRDefault="004D5789">
      <w:pPr>
        <w:jc w:val="both"/>
        <w:rPr>
          <w:rFonts w:ascii="Times New Roman" w:hAnsi="Times New Roman" w:cs="Times New Roman"/>
          <w:noProof/>
        </w:rPr>
      </w:pPr>
      <w:r>
        <w:rPr>
          <w:rFonts w:ascii="Times New Roman" w:hAnsi="Times New Roman" w:cs="Times New Roman"/>
          <w:b/>
          <w:noProof/>
        </w:rPr>
        <w:t xml:space="preserve">Euro-area rebalancing continues to deserve careful consideration. </w:t>
      </w:r>
      <w:r>
        <w:rPr>
          <w:rFonts w:ascii="Times New Roman" w:hAnsi="Times New Roman" w:cs="Times New Roman"/>
          <w:noProof/>
        </w:rPr>
        <w:t xml:space="preserve">The euro-area current account surplus stabilised in 2016 and </w:t>
      </w:r>
      <w:r>
        <w:rPr>
          <w:rFonts w:ascii="Times New Roman" w:hAnsi="Times New Roman" w:cs="Times New Roman"/>
          <w:noProof/>
        </w:rPr>
        <w:t>remained broadly constant afterwards. Its level is the largest worldwide, and is above levels consistent with economic fundamentals. In light of intra-euro-area interconnectedness and spillovers, an appropriate combination of policies across euro-area coun</w:t>
      </w:r>
      <w:r>
        <w:rPr>
          <w:rFonts w:ascii="Times New Roman" w:hAnsi="Times New Roman" w:cs="Times New Roman"/>
          <w:noProof/>
        </w:rPr>
        <w:t>tries is needed to make sure that the resuming growth is sustainable, and compatible with macroeconomic stability. In net-debtor countries, running down large stocks of foreign and domestic debt requires maintaining prudent current account balances and ens</w:t>
      </w:r>
      <w:r>
        <w:rPr>
          <w:rFonts w:ascii="Times New Roman" w:hAnsi="Times New Roman" w:cs="Times New Roman"/>
          <w:noProof/>
        </w:rPr>
        <w:t>uring an appropriate pace of debt reduction without undermining the objective of raising the growth potential and with a view to prevent the risk of pro-cyclical tightening in bad times. In net-creditor countries, addressing persistent large surpluses by m</w:t>
      </w:r>
      <w:r>
        <w:rPr>
          <w:rFonts w:ascii="Times New Roman" w:hAnsi="Times New Roman" w:cs="Times New Roman"/>
          <w:noProof/>
        </w:rPr>
        <w:t>eans of policies stimulating investment and overcoming wage inertia would contribute to support the growth potential and make growth prospects less dependent upon foreign demand. Box 2 discusses more at length the euro area dimension of imbalances.</w:t>
      </w:r>
    </w:p>
    <w:p w:rsidR="007E447C" w:rsidRDefault="004D5789">
      <w:pPr>
        <w:jc w:val="both"/>
        <w:rPr>
          <w:rFonts w:ascii="Times New Roman" w:hAnsi="Times New Roman" w:cs="Times New Roman"/>
          <w:noProof/>
        </w:rPr>
      </w:pPr>
      <w:r>
        <w:rPr>
          <w:rFonts w:ascii="Times New Roman" w:hAnsi="Times New Roman" w:cs="Times New Roman"/>
          <w:b/>
          <w:noProof/>
        </w:rPr>
        <w:t>Overall</w:t>
      </w:r>
      <w:r>
        <w:rPr>
          <w:rFonts w:ascii="Times New Roman" w:hAnsi="Times New Roman" w:cs="Times New Roman"/>
          <w:b/>
          <w:noProof/>
        </w:rPr>
        <w:t xml:space="preserve">, risks relating to existing imbalances continue receding on the back of the economic expansion, but vulnerabilities linked to stock imbalances persist, and signs of possible unsustainable trends are visible. </w:t>
      </w:r>
      <w:r>
        <w:rPr>
          <w:rFonts w:ascii="Times New Roman" w:hAnsi="Times New Roman" w:cs="Times New Roman"/>
          <w:noProof/>
        </w:rPr>
        <w:t xml:space="preserve">Potential sources of risk are broadly the same </w:t>
      </w:r>
      <w:r>
        <w:rPr>
          <w:rFonts w:ascii="Times New Roman" w:hAnsi="Times New Roman" w:cs="Times New Roman"/>
          <w:noProof/>
        </w:rPr>
        <w:t>as those identified in the AMR 2018. Large surpluses persist, while competitiveness developments have become less supportive of rebalancing. Private sector deleveraging has benefited from the economic expansion but remains uneven, with large stocks of debt</w:t>
      </w:r>
      <w:r>
        <w:rPr>
          <w:rFonts w:ascii="Times New Roman" w:hAnsi="Times New Roman" w:cs="Times New Roman"/>
          <w:noProof/>
        </w:rPr>
        <w:t xml:space="preserve"> not correcting at sufficient pace. More fundamentally, reduced active deleveraging from the private and notably the public sector brings the question whether deleveraging could increasingly rely on potential GDP growth going forward. Such a challenge unde</w:t>
      </w:r>
      <w:r>
        <w:rPr>
          <w:rFonts w:ascii="Times New Roman" w:hAnsi="Times New Roman" w:cs="Times New Roman"/>
          <w:noProof/>
        </w:rPr>
        <w:t>rscores the need of continuing the reform process started in a number of EU countries in past years and keeping high in the agenda policies and reforms aimed at raising the growth potential.</w:t>
      </w:r>
      <w:r>
        <w:rPr>
          <w:rStyle w:val="FootnoteReference"/>
          <w:rFonts w:ascii="Times New Roman" w:hAnsi="Times New Roman" w:cs="Times New Roman"/>
          <w:noProof/>
        </w:rPr>
        <w:footnoteReference w:id="7"/>
      </w:r>
      <w:r>
        <w:rPr>
          <w:rFonts w:ascii="Times New Roman" w:hAnsi="Times New Roman" w:cs="Times New Roman"/>
          <w:noProof/>
        </w:rPr>
        <w:t xml:space="preserve"> In light of the increasingly uncertain medium-term outlook, dele</w:t>
      </w:r>
      <w:r>
        <w:rPr>
          <w:rFonts w:ascii="Times New Roman" w:hAnsi="Times New Roman" w:cs="Times New Roman"/>
          <w:noProof/>
        </w:rPr>
        <w:t>veraging efforts by the private and public sector in the current times of continued economic expansion are key also with a view to create room to cushion negative output shocks once economic conditions become less supportive and risks materialise. At the s</w:t>
      </w:r>
      <w:r>
        <w:rPr>
          <w:rFonts w:ascii="Times New Roman" w:hAnsi="Times New Roman" w:cs="Times New Roman"/>
          <w:noProof/>
        </w:rPr>
        <w:t>ame time, in a number of countries signs of possible overheating are present, mainly linked to fast-growing unit labour costs implying reduced cost competitiveness, and dynamic house price growth from already relatively elevated levels. In light of the cor</w:t>
      </w:r>
      <w:r>
        <w:rPr>
          <w:rFonts w:ascii="Times New Roman" w:hAnsi="Times New Roman" w:cs="Times New Roman"/>
          <w:noProof/>
        </w:rPr>
        <w:t>rection of most flow imbalances and the gradual reduction of the gravity of stock imbalances, and possible signs of overheating present in a number of countries, the orientation of MIP surveillance is gradually paying more attention to the monitoring of po</w:t>
      </w:r>
      <w:r>
        <w:rPr>
          <w:rFonts w:ascii="Times New Roman" w:hAnsi="Times New Roman" w:cs="Times New Roman"/>
          <w:noProof/>
        </w:rPr>
        <w:t>ssibly unsustainable trends and the prevention of configurations of risks that could crystallise over the medium term.</w:t>
      </w:r>
    </w:p>
    <w:p w:rsidR="007E447C" w:rsidRDefault="004D5789">
      <w:pPr>
        <w:jc w:val="both"/>
        <w:rPr>
          <w:rFonts w:ascii="Times New Roman" w:hAnsi="Times New Roman" w:cs="Times New Roman"/>
          <w:noProof/>
        </w:rPr>
      </w:pPr>
      <w:r>
        <w:rPr>
          <w:rFonts w:ascii="Times New Roman" w:hAnsi="Times New Roman" w:cs="Times New Roman"/>
          <w:b/>
          <w:noProof/>
        </w:rPr>
        <w:t>For a number of Member States identified in the AMR, more detailed and encompassing analyses will be contained in the IDRs</w:t>
      </w:r>
      <w:r>
        <w:rPr>
          <w:rFonts w:ascii="Times New Roman" w:hAnsi="Times New Roman" w:cs="Times New Roman"/>
          <w:noProof/>
        </w:rPr>
        <w:t xml:space="preserve">. As in recent </w:t>
      </w:r>
      <w:r>
        <w:rPr>
          <w:rFonts w:ascii="Times New Roman" w:hAnsi="Times New Roman" w:cs="Times New Roman"/>
          <w:noProof/>
        </w:rPr>
        <w:t xml:space="preserve">annual cycles, IDRs will be embedded in the country reports, which provide the Commission services' analysis of the economic and social </w:t>
      </w:r>
      <w:r>
        <w:rPr>
          <w:rFonts w:ascii="Times New Roman" w:hAnsi="Times New Roman" w:cs="Times New Roman"/>
          <w:noProof/>
        </w:rPr>
        <w:lastRenderedPageBreak/>
        <w:t>challenges in the EU Member States. To prepare the IDRs, the Commission will base its analysis on a rich set of data and</w:t>
      </w:r>
      <w:r>
        <w:rPr>
          <w:rFonts w:ascii="Times New Roman" w:hAnsi="Times New Roman" w:cs="Times New Roman"/>
          <w:noProof/>
        </w:rPr>
        <w:t xml:space="preserve"> relevant information and assessment frameworks developed by the Commission in cooperation with Council committees and working groups. The analysis contained in the IDRs will provide the basis for the identification of imbalances or excessive imbalances in</w:t>
      </w:r>
      <w:r>
        <w:rPr>
          <w:rFonts w:ascii="Times New Roman" w:hAnsi="Times New Roman" w:cs="Times New Roman"/>
          <w:noProof/>
        </w:rPr>
        <w:t xml:space="preserve"> Member States, and for possible updates in the country-specific recommendations (CSRs) issued to Member States.</w:t>
      </w:r>
      <w:r>
        <w:rPr>
          <w:rFonts w:ascii="Times New Roman" w:hAnsi="Times New Roman" w:cs="Times New Roman"/>
          <w:noProof/>
          <w:vertAlign w:val="superscript"/>
        </w:rPr>
        <w:footnoteReference w:id="8"/>
      </w:r>
      <w:r>
        <w:rPr>
          <w:rFonts w:ascii="Times New Roman" w:hAnsi="Times New Roman" w:cs="Times New Roman"/>
          <w:noProof/>
        </w:rPr>
        <w:t xml:space="preserve"> Countries for which imbalances or excessive imbalances have been identified are, and will continue to be, subject to specific monitoring to en</w:t>
      </w:r>
      <w:r>
        <w:rPr>
          <w:rFonts w:ascii="Times New Roman" w:hAnsi="Times New Roman" w:cs="Times New Roman"/>
          <w:noProof/>
        </w:rPr>
        <w:t>sure the continuous surveillance of the policies undertaken under the MIP.</w:t>
      </w:r>
    </w:p>
    <w:p w:rsidR="007E447C" w:rsidRDefault="004D5789">
      <w:pPr>
        <w:jc w:val="both"/>
        <w:rPr>
          <w:rFonts w:ascii="Times New Roman" w:hAnsi="Times New Roman" w:cs="Times New Roman"/>
          <w:noProof/>
        </w:rPr>
      </w:pPr>
      <w:r>
        <w:rPr>
          <w:rFonts w:ascii="Times New Roman" w:hAnsi="Times New Roman" w:cs="Times New Roman"/>
          <w:b/>
          <w:noProof/>
        </w:rPr>
        <w:t xml:space="preserve">IDRs will be prepared for the Member States already identified with imbalances or excessive imbalances. </w:t>
      </w:r>
      <w:r>
        <w:rPr>
          <w:rFonts w:ascii="Times New Roman" w:hAnsi="Times New Roman" w:cs="Times New Roman"/>
          <w:noProof/>
        </w:rPr>
        <w:t xml:space="preserve">In line with established prudential practice, IDRs will be issued to assess </w:t>
      </w:r>
      <w:r>
        <w:rPr>
          <w:rFonts w:ascii="Times New Roman" w:hAnsi="Times New Roman" w:cs="Times New Roman"/>
          <w:noProof/>
        </w:rPr>
        <w:t>whether existing imbalances are unwinding, persisting or aggravating, while taking stock of corrective policies implemented. The preparation of IDRs is therefore foreseen for the 11 Member States identified with imbalances in light of the findings of the 2</w:t>
      </w:r>
      <w:r>
        <w:rPr>
          <w:rFonts w:ascii="Times New Roman" w:hAnsi="Times New Roman" w:cs="Times New Roman"/>
          <w:noProof/>
        </w:rPr>
        <w:t>018 vintage of IDRs.</w:t>
      </w:r>
      <w:r>
        <w:rPr>
          <w:rFonts w:ascii="Times New Roman" w:hAnsi="Times New Roman" w:cs="Times New Roman"/>
          <w:noProof/>
          <w:vertAlign w:val="superscript"/>
        </w:rPr>
        <w:footnoteReference w:id="9"/>
      </w:r>
      <w:r>
        <w:rPr>
          <w:rFonts w:ascii="Times New Roman" w:hAnsi="Times New Roman" w:cs="Times New Roman"/>
          <w:noProof/>
        </w:rPr>
        <w:t xml:space="preserve"> They are</w:t>
      </w:r>
      <w:r>
        <w:rPr>
          <w:rFonts w:ascii="Times New Roman" w:hAnsi="Times New Roman" w:cs="Times New Roman"/>
          <w:b/>
          <w:noProof/>
        </w:rPr>
        <w:t xml:space="preserve"> Bulgaria, Croatia, Cyprus, France, Germany, Ireland, Italy, the Netherlands, Portugal, Spain, </w:t>
      </w:r>
      <w:r>
        <w:rPr>
          <w:rFonts w:ascii="Times New Roman" w:hAnsi="Times New Roman" w:cs="Times New Roman"/>
          <w:noProof/>
        </w:rPr>
        <w:t>and</w:t>
      </w:r>
      <w:r>
        <w:rPr>
          <w:rFonts w:ascii="Times New Roman" w:hAnsi="Times New Roman" w:cs="Times New Roman"/>
          <w:b/>
          <w:noProof/>
        </w:rPr>
        <w:t xml:space="preserve"> Sweden</w:t>
      </w:r>
      <w:r>
        <w:rPr>
          <w:rFonts w:ascii="Times New Roman" w:hAnsi="Times New Roman" w:cs="Times New Roman"/>
          <w:noProof/>
        </w:rPr>
        <w:t>.</w:t>
      </w:r>
    </w:p>
    <w:p w:rsidR="007E447C" w:rsidRDefault="004D5789">
      <w:pPr>
        <w:jc w:val="both"/>
        <w:rPr>
          <w:rFonts w:ascii="Times New Roman" w:hAnsi="Times New Roman" w:cs="Times New Roman"/>
          <w:noProof/>
        </w:rPr>
      </w:pPr>
      <w:r>
        <w:rPr>
          <w:rFonts w:ascii="Times New Roman" w:hAnsi="Times New Roman" w:cs="Times New Roman"/>
          <w:b/>
          <w:noProof/>
        </w:rPr>
        <w:t xml:space="preserve">IDRs will be prepared also for Greece, which is for the first time subject to MIP surveillance, and for Romania. </w:t>
      </w:r>
      <w:r>
        <w:rPr>
          <w:rFonts w:ascii="Times New Roman" w:hAnsi="Times New Roman" w:cs="Times New Roman"/>
          <w:noProof/>
        </w:rPr>
        <w:t xml:space="preserve">In light of AMR analysis, an IDR will be issued for </w:t>
      </w:r>
      <w:r>
        <w:rPr>
          <w:rFonts w:ascii="Times New Roman" w:hAnsi="Times New Roman" w:cs="Times New Roman"/>
          <w:b/>
          <w:noProof/>
        </w:rPr>
        <w:t xml:space="preserve">Greece, </w:t>
      </w:r>
      <w:r>
        <w:rPr>
          <w:rFonts w:ascii="Times New Roman" w:hAnsi="Times New Roman" w:cs="Times New Roman"/>
          <w:noProof/>
        </w:rPr>
        <w:t>which was previously excluded from MIP surveillance because it was subject to a macroeconomic adjustment programme in the context of financial assistance until August 2018.</w:t>
      </w:r>
      <w:r>
        <w:rPr>
          <w:rStyle w:val="FootnoteReference"/>
          <w:rFonts w:ascii="Times New Roman" w:hAnsi="Times New Roman" w:cs="Times New Roman"/>
          <w:noProof/>
        </w:rPr>
        <w:footnoteReference w:id="10"/>
      </w:r>
      <w:r>
        <w:rPr>
          <w:rFonts w:ascii="Times New Roman" w:hAnsi="Times New Roman" w:cs="Times New Roman"/>
          <w:noProof/>
        </w:rPr>
        <w:t xml:space="preserve"> The AMR assessment doe</w:t>
      </w:r>
      <w:r>
        <w:rPr>
          <w:rFonts w:ascii="Times New Roman" w:hAnsi="Times New Roman" w:cs="Times New Roman"/>
          <w:noProof/>
        </w:rPr>
        <w:t>s not point to significant additional risks as compared to the ones identified in last available IDRs for a number of Member States that exited MIP surveillance in recent years, namely Slovenia (which was identified with no imbalances in 2018), Finland (ex</w:t>
      </w:r>
      <w:r>
        <w:rPr>
          <w:rFonts w:ascii="Times New Roman" w:hAnsi="Times New Roman" w:cs="Times New Roman"/>
          <w:noProof/>
        </w:rPr>
        <w:t>it in 2017), Belgium and Hungary (exit in 2016). Conditions have also not changed significantly in Austria since the assessment contained in the 2016 IDR that led to the identification of no imbalances. The case of Estonia was also analysed in an IDR in 20</w:t>
      </w:r>
      <w:r>
        <w:rPr>
          <w:rFonts w:ascii="Times New Roman" w:hAnsi="Times New Roman" w:cs="Times New Roman"/>
          <w:noProof/>
        </w:rPr>
        <w:t xml:space="preserve">16, which concluded against the identification of imbalances. Despite strong unit labour cost growth since then, there were no significant implications for external balance, and the case for a new IDR for Estonia is not compelling, though close monitoring </w:t>
      </w:r>
      <w:r>
        <w:rPr>
          <w:rFonts w:ascii="Times New Roman" w:hAnsi="Times New Roman" w:cs="Times New Roman"/>
          <w:noProof/>
        </w:rPr>
        <w:t xml:space="preserve">in the upcoming country report is needed. It seems warranted instead to issue an IDR to analyse the situation of </w:t>
      </w:r>
      <w:r>
        <w:rPr>
          <w:rFonts w:ascii="Times New Roman" w:hAnsi="Times New Roman" w:cs="Times New Roman"/>
          <w:b/>
          <w:noProof/>
        </w:rPr>
        <w:t>Romania</w:t>
      </w:r>
      <w:r>
        <w:rPr>
          <w:rFonts w:ascii="Times New Roman" w:hAnsi="Times New Roman" w:cs="Times New Roman"/>
          <w:noProof/>
        </w:rPr>
        <w:t xml:space="preserve"> in order to assess the evolution and possible re-emergence of risky developments identified already in previous IDRs (in 2015 and 2016)</w:t>
      </w:r>
      <w:r>
        <w:rPr>
          <w:rFonts w:ascii="Times New Roman" w:hAnsi="Times New Roman" w:cs="Times New Roman"/>
          <w:noProof/>
        </w:rPr>
        <w:t xml:space="preserve">, notably in relation to competitiveness and external balance. Close analysis in the country reports seems warranted for risks linked to housing market developments in a number of Member States (Austria, Belgium, Czechia, Denmark, Hungary, Luxembourg, and </w:t>
      </w:r>
      <w:r>
        <w:rPr>
          <w:rFonts w:ascii="Times New Roman" w:hAnsi="Times New Roman" w:cs="Times New Roman"/>
          <w:noProof/>
        </w:rPr>
        <w:t>the United Kingdom) and in relation to competitiveness developments (Czechia, Estonia, Hungary, Latvia and Lithuania).</w:t>
      </w:r>
      <w:r>
        <w:rPr>
          <w:rStyle w:val="FootnoteReference"/>
          <w:rFonts w:ascii="Times New Roman" w:hAnsi="Times New Roman" w:cs="Times New Roman"/>
          <w:noProof/>
        </w:rPr>
        <w:footnoteReference w:id="11"/>
      </w:r>
      <w:r>
        <w:rPr>
          <w:rFonts w:ascii="Times New Roman" w:hAnsi="Times New Roman" w:cs="Times New Roman"/>
          <w:noProof/>
        </w:rPr>
        <w:t xml:space="preserve"> Overall, the AMR therefore calls for the preparation of IDRs for 13 Member States compared to 12 in the previous cycle.</w:t>
      </w:r>
    </w:p>
    <w:p w:rsidR="007E447C" w:rsidRDefault="007E447C">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7E447C">
        <w:tc>
          <w:tcPr>
            <w:tcW w:w="9288" w:type="dxa"/>
            <w:shd w:val="clear" w:color="auto" w:fill="BFBFBF"/>
          </w:tcPr>
          <w:p w:rsidR="007E447C" w:rsidRDefault="004D5789">
            <w:pPr>
              <w:spacing w:after="60"/>
              <w:jc w:val="both"/>
              <w:rPr>
                <w:b/>
                <w:noProof/>
              </w:rPr>
            </w:pPr>
            <w:r>
              <w:rPr>
                <w:rFonts w:ascii="Times New Roman" w:hAnsi="Times New Roman" w:cs="Times New Roman"/>
                <w:noProof/>
              </w:rPr>
              <w:lastRenderedPageBreak/>
              <w:br w:type="page"/>
            </w:r>
            <w:r>
              <w:rPr>
                <w:rFonts w:ascii="Times New Roman" w:hAnsi="Times New Roman" w:cs="Times New Roman"/>
                <w:noProof/>
              </w:rPr>
              <w:br w:type="page"/>
            </w:r>
            <w:r>
              <w:rPr>
                <w:rFonts w:ascii="Times New Roman" w:hAnsi="Times New Roman" w:cs="Times New Roman"/>
                <w:noProof/>
              </w:rPr>
              <w:br w:type="page"/>
            </w:r>
            <w:r>
              <w:rPr>
                <w:rFonts w:ascii="Times New Roman" w:hAnsi="Times New Roman" w:cs="Times New Roman"/>
                <w:b/>
                <w:i/>
                <w:noProof/>
              </w:rPr>
              <w:t xml:space="preserve">Box 1: </w:t>
            </w:r>
            <w:r>
              <w:rPr>
                <w:b/>
                <w:noProof/>
              </w:rPr>
              <w:t>Revis</w:t>
            </w:r>
            <w:r>
              <w:rPr>
                <w:b/>
                <w:noProof/>
              </w:rPr>
              <w:t>ions introduced to the auxiliary indicators of the MIP scoreboard</w:t>
            </w:r>
          </w:p>
          <w:p w:rsidR="007E447C" w:rsidRDefault="004D5789">
            <w:pPr>
              <w:spacing w:before="120" w:after="60" w:line="240" w:lineRule="auto"/>
              <w:jc w:val="both"/>
              <w:rPr>
                <w:noProof/>
              </w:rPr>
            </w:pPr>
            <w:r>
              <w:rPr>
                <w:b/>
                <w:noProof/>
              </w:rPr>
              <w:t>The MIP scoreboard is complemented by a set of auxiliary indicators</w:t>
            </w:r>
            <w:r>
              <w:rPr>
                <w:noProof/>
              </w:rPr>
              <w:t>. As set in the MIP Regulation</w:t>
            </w:r>
            <w:r>
              <w:rPr>
                <w:b/>
                <w:noProof/>
              </w:rPr>
              <w:t xml:space="preserve"> </w:t>
            </w:r>
            <w:r>
              <w:rPr>
                <w:noProof/>
              </w:rPr>
              <w:t>(Regulation (EU) No 1176/2011), the economic reading of the scoreboard shall use not only th</w:t>
            </w:r>
            <w:r>
              <w:rPr>
                <w:noProof/>
              </w:rPr>
              <w:t>e headline scoreboard indicators, but also on additional relevant indicators and information. Since the inception of MIP surveillance, a set of auxiliary indicators have complemented the economic reading of the headline indicators. Unlike headline indicato</w:t>
            </w:r>
            <w:r>
              <w:rPr>
                <w:noProof/>
              </w:rPr>
              <w:t>rs, there are no thresholds for auxiliary indicators (see Table 2.1).</w:t>
            </w:r>
          </w:p>
          <w:p w:rsidR="007E447C" w:rsidRDefault="004D5789">
            <w:pPr>
              <w:spacing w:before="120" w:after="60" w:line="240" w:lineRule="auto"/>
              <w:jc w:val="both"/>
              <w:rPr>
                <w:noProof/>
              </w:rPr>
            </w:pPr>
            <w:r>
              <w:rPr>
                <w:b/>
                <w:noProof/>
              </w:rPr>
              <w:t xml:space="preserve">The MIP regulation requires the Commission to regularly review and revise the MIP scoreboard where necessary. </w:t>
            </w:r>
            <w:r>
              <w:rPr>
                <w:noProof/>
              </w:rPr>
              <w:t xml:space="preserve">The scoreboard has undergone a number of revisions since the MIP inception. </w:t>
            </w:r>
            <w:r>
              <w:rPr>
                <w:noProof/>
              </w:rPr>
              <w:t xml:space="preserve">In 2012, a headline indicator for the financial sector was added (total financial sector liabilities). In 2013, the definition of a number of headline scoreboard variables was revised (real effective exchange rate, private sector debt and credit flow) and </w:t>
            </w:r>
            <w:r>
              <w:rPr>
                <w:noProof/>
              </w:rPr>
              <w:t xml:space="preserve">some auxiliary indicators were added (including a set of social and employment indicators). In 2015, headline employment indicators were added. Overall, changes have been targeted and parsimonious. </w:t>
            </w:r>
          </w:p>
          <w:p w:rsidR="007E447C" w:rsidRDefault="004D5789">
            <w:pPr>
              <w:spacing w:before="120" w:after="60" w:line="240" w:lineRule="auto"/>
              <w:jc w:val="both"/>
              <w:rPr>
                <w:noProof/>
              </w:rPr>
            </w:pPr>
            <w:r>
              <w:rPr>
                <w:b/>
                <w:noProof/>
              </w:rPr>
              <w:t>This AMR introduces some revisions to the auxiliary indic</w:t>
            </w:r>
            <w:r>
              <w:rPr>
                <w:b/>
                <w:noProof/>
              </w:rPr>
              <w:t>ators in order to benefit from improvements in available statistics and ensuring the pertinence of the indicators.</w:t>
            </w:r>
            <w:r>
              <w:rPr>
                <w:noProof/>
              </w:rPr>
              <w:t xml:space="preserve"> Those latest revisions in the set of auxiliary indicators aim at benefiting from improved statistics on balance of payments and banking secto</w:t>
            </w:r>
            <w:r>
              <w:rPr>
                <w:noProof/>
              </w:rPr>
              <w:t>r data (notably non-performing loans), and help the scoreboard to reflect indicators that are already widely used in AMR and IDR analysis. As in previous revisions to the scoreboard, the European Parliament and the Council (including its committees of expe</w:t>
            </w:r>
            <w:r>
              <w:rPr>
                <w:noProof/>
              </w:rPr>
              <w:t>rts) were duly consulted and the ESRB was informed. Those revisions can be summarised as follows:</w:t>
            </w:r>
            <w:r>
              <w:rPr>
                <w:rStyle w:val="FootnoteReference"/>
                <w:noProof/>
              </w:rPr>
              <w:footnoteReference w:id="12"/>
            </w:r>
          </w:p>
          <w:p w:rsidR="007E447C" w:rsidRDefault="004D5789">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cs="Times New Roman"/>
                <w:i/>
                <w:noProof/>
              </w:rPr>
              <w:t>Net external debt (NED)</w:t>
            </w:r>
            <w:r>
              <w:rPr>
                <w:rFonts w:ascii="Times New Roman" w:hAnsi="Times New Roman" w:cs="Times New Roman"/>
                <w:noProof/>
              </w:rPr>
              <w:t xml:space="preserve"> is replaced by </w:t>
            </w:r>
            <w:r>
              <w:rPr>
                <w:rFonts w:ascii="Times New Roman" w:hAnsi="Times New Roman" w:cs="Times New Roman"/>
                <w:i/>
                <w:noProof/>
              </w:rPr>
              <w:t>NIIP excluding non-defaultable instruments</w:t>
            </w:r>
            <w:r>
              <w:rPr>
                <w:rFonts w:ascii="Times New Roman" w:hAnsi="Times New Roman" w:cs="Times New Roman"/>
                <w:noProof/>
              </w:rPr>
              <w:t xml:space="preserve"> (NENDI) in order to obtain a broader representation of external stocks (bot</w:t>
            </w:r>
            <w:r>
              <w:rPr>
                <w:rFonts w:ascii="Times New Roman" w:hAnsi="Times New Roman" w:cs="Times New Roman"/>
                <w:noProof/>
              </w:rPr>
              <w:t xml:space="preserve">h assets and liabilities) carrying default risks. The new indicator profits from the revised methodology for balance of payments statistics (from BPM5 to BPM6), which allows a finer breakdown of foreign assets and liabilities. </w:t>
            </w:r>
            <w:r>
              <w:rPr>
                <w:noProof/>
              </w:rPr>
              <w:t>Compared with NED, NENDI: (i)</w:t>
            </w:r>
            <w:r>
              <w:rPr>
                <w:noProof/>
              </w:rPr>
              <w:t xml:space="preserve"> excludes net intra-company foreign direct investment (FDI) debt, which in some cases accounts for a large share of cross-border debt without representing solvency concerns; (ii) includes mutual fund shares, which are sometimes a very large item and are mo</w:t>
            </w:r>
            <w:r>
              <w:rPr>
                <w:noProof/>
              </w:rPr>
              <w:t xml:space="preserve">stly backed by bonds; and (iii) includes net financial derivatives. Seen from a different perspective, NENDI is a subset of the NIIP that excludes equity-related components, namely FDI equity and equity shares, and intra-company cross-border FDI debt. </w:t>
            </w:r>
          </w:p>
          <w:p w:rsidR="007E447C" w:rsidRDefault="004D5789">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cs="Times New Roman"/>
                <w:noProof/>
              </w:rPr>
              <w:t>The</w:t>
            </w:r>
            <w:r>
              <w:rPr>
                <w:rFonts w:ascii="Times New Roman" w:hAnsi="Times New Roman" w:cs="Times New Roman"/>
                <w:noProof/>
              </w:rPr>
              <w:t xml:space="preserve"> </w:t>
            </w:r>
            <w:r>
              <w:rPr>
                <w:rFonts w:ascii="Times New Roman" w:hAnsi="Times New Roman" w:cs="Times New Roman"/>
                <w:i/>
                <w:noProof/>
              </w:rPr>
              <w:t>non-consolidated</w:t>
            </w:r>
            <w:r>
              <w:rPr>
                <w:rFonts w:ascii="Times New Roman" w:hAnsi="Times New Roman" w:cs="Times New Roman"/>
                <w:noProof/>
              </w:rPr>
              <w:t xml:space="preserve"> </w:t>
            </w:r>
            <w:r>
              <w:rPr>
                <w:rFonts w:ascii="Times New Roman" w:hAnsi="Times New Roman" w:cs="Times New Roman"/>
                <w:i/>
                <w:noProof/>
              </w:rPr>
              <w:t>financial sector leverage</w:t>
            </w:r>
            <w:r>
              <w:rPr>
                <w:rFonts w:ascii="Times New Roman" w:hAnsi="Times New Roman" w:cs="Times New Roman"/>
                <w:noProof/>
              </w:rPr>
              <w:t xml:space="preserve"> indicator from national accounts is replaced with </w:t>
            </w:r>
            <w:r>
              <w:rPr>
                <w:rFonts w:ascii="Times New Roman" w:hAnsi="Times New Roman" w:cs="Times New Roman"/>
                <w:i/>
                <w:noProof/>
              </w:rPr>
              <w:t>consolidated banking leverage, domestic and foreign entities</w:t>
            </w:r>
            <w:r>
              <w:rPr>
                <w:rFonts w:ascii="Times New Roman" w:hAnsi="Times New Roman" w:cs="Times New Roman"/>
                <w:noProof/>
              </w:rPr>
              <w:t xml:space="preserve"> from ECB consolidated banking data, which has more clear economic interpretation, is comparable acros</w:t>
            </w:r>
            <w:r>
              <w:rPr>
                <w:rFonts w:ascii="Times New Roman" w:hAnsi="Times New Roman" w:cs="Times New Roman"/>
                <w:noProof/>
              </w:rPr>
              <w:t xml:space="preserve">s countries, and is consistently based on book values, even if it covers the banking sector only. </w:t>
            </w:r>
          </w:p>
          <w:p w:rsidR="007E447C" w:rsidRDefault="004D5789">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cs="Times New Roman"/>
                <w:noProof/>
              </w:rPr>
              <w:t xml:space="preserve">Two indicators that are regularly used in MIP analysis are added: first </w:t>
            </w:r>
            <w:r>
              <w:rPr>
                <w:rFonts w:ascii="Times New Roman" w:hAnsi="Times New Roman" w:cs="Times New Roman"/>
                <w:i/>
                <w:noProof/>
              </w:rPr>
              <w:t>household debt (consolidated)</w:t>
            </w:r>
            <w:r>
              <w:rPr>
                <w:rFonts w:ascii="Times New Roman" w:hAnsi="Times New Roman" w:cs="Times New Roman"/>
                <w:noProof/>
              </w:rPr>
              <w:t xml:space="preserve"> to complement the headline indicator on private sector </w:t>
            </w:r>
            <w:r>
              <w:rPr>
                <w:rFonts w:ascii="Times New Roman" w:hAnsi="Times New Roman" w:cs="Times New Roman"/>
                <w:noProof/>
              </w:rPr>
              <w:t xml:space="preserve">debt; and, second, </w:t>
            </w:r>
            <w:r>
              <w:rPr>
                <w:rFonts w:ascii="Times New Roman" w:hAnsi="Times New Roman" w:cs="Times New Roman"/>
                <w:i/>
                <w:noProof/>
              </w:rPr>
              <w:t>gross non-performing loans</w:t>
            </w:r>
            <w:r>
              <w:rPr>
                <w:rFonts w:ascii="Times New Roman" w:hAnsi="Times New Roman" w:cs="Times New Roman"/>
                <w:noProof/>
              </w:rPr>
              <w:t>, which provides complementary information to assess private sector debt. The addition of the latter has become possible thanks to the availability of cross-country-comparable data in the ECB's consolidated bank</w:t>
            </w:r>
            <w:r>
              <w:rPr>
                <w:rFonts w:ascii="Times New Roman" w:hAnsi="Times New Roman" w:cs="Times New Roman"/>
                <w:noProof/>
              </w:rPr>
              <w:t xml:space="preserve">ing statistics as of 2015. </w:t>
            </w:r>
          </w:p>
          <w:p w:rsidR="007E447C" w:rsidRDefault="004D5789">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cs="Times New Roman"/>
                <w:noProof/>
              </w:rPr>
              <w:t>To keep the scoreboard relevant and parsimonious, the total number of indicators is kept unchanged at 28. Two auxiliary indicators previously included are dropped: (i) the ten-year change in nominal unit labour costs (as it over</w:t>
            </w:r>
            <w:r>
              <w:rPr>
                <w:rFonts w:ascii="Times New Roman" w:hAnsi="Times New Roman" w:cs="Times New Roman"/>
                <w:noProof/>
              </w:rPr>
              <w:t>laps with data on three-year change on unit labour costs among the headline indicators and on ten-year change in unit labour costs relative to euro area also in the auxiliary indicators); (ii) non-consolidated private sector debt (which has been superseded</w:t>
            </w:r>
            <w:r>
              <w:rPr>
                <w:rFonts w:ascii="Times New Roman" w:hAnsi="Times New Roman" w:cs="Times New Roman"/>
                <w:noProof/>
              </w:rPr>
              <w:t xml:space="preserve"> by the headline indicator on consolidated private sector debt).</w:t>
            </w:r>
          </w:p>
        </w:tc>
      </w:tr>
    </w:tbl>
    <w:p w:rsidR="007E447C" w:rsidRDefault="007E447C">
      <w:pPr>
        <w:rPr>
          <w:rFonts w:ascii="Times New Roman Bold" w:eastAsia="MS Gothic" w:hAnsi="Times New Roman Bold" w:cs="Times New Roman" w:hint="eastAsia"/>
          <w:b/>
          <w:bCs/>
          <w:smallCaps/>
          <w:noProof/>
          <w:lang w:eastAsia="en-GB"/>
        </w:rPr>
      </w:pPr>
    </w:p>
    <w:p w:rsidR="007E447C" w:rsidRDefault="004D5789">
      <w:pPr>
        <w:rPr>
          <w:rFonts w:ascii="Times New Roman Bold" w:eastAsia="MS Gothic" w:hAnsi="Times New Roman Bold" w:cs="Times New Roman" w:hint="eastAsia"/>
          <w:b/>
          <w:bCs/>
          <w:smallCaps/>
          <w:noProof/>
          <w:lang w:eastAsia="en-GB"/>
        </w:rPr>
      </w:pPr>
      <w:r>
        <w:rPr>
          <w:rFonts w:ascii="Times New Roman Bold" w:eastAsia="MS Gothic" w:hAnsi="Times New Roman Bold" w:cs="Times New Roman"/>
          <w:b/>
          <w:bCs/>
          <w:smallCaps/>
          <w:noProof/>
          <w:lang w:eastAsia="en-GB"/>
        </w:rPr>
        <w:t>2.</w:t>
      </w:r>
      <w:r>
        <w:rPr>
          <w:rFonts w:ascii="Times New Roman Bold" w:eastAsia="MS Gothic" w:hAnsi="Times New Roman Bold" w:cs="Times New Roman"/>
          <w:b/>
          <w:bCs/>
          <w:smallCaps/>
          <w:noProof/>
          <w:lang w:eastAsia="en-GB"/>
        </w:rPr>
        <w:tab/>
        <w:t>Imbalances, Risks and Adjustment: main developments across countries</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The AMR builds on an economic reading of the MIP scoreboard of indicators</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 xml:space="preserve">which provides a filtering device for </w:t>
      </w:r>
      <w:r>
        <w:rPr>
          <w:rFonts w:ascii="Times New Roman" w:eastAsia="Times New Roman" w:hAnsi="Times New Roman" w:cs="Times New Roman"/>
          <w:b/>
          <w:noProof/>
          <w:lang w:eastAsia="en-GB"/>
        </w:rPr>
        <w:t>detecting prima-facie evidence of possible risks and vulnerabilities</w:t>
      </w:r>
      <w:r>
        <w:rPr>
          <w:rFonts w:ascii="Times New Roman" w:eastAsia="Times New Roman" w:hAnsi="Times New Roman" w:cs="Times New Roman"/>
          <w:noProof/>
          <w:lang w:eastAsia="en-GB"/>
        </w:rPr>
        <w:t>. The scoreboard includes a range of 14 indicators with indicative thresholds regarding areas, such as external positions, competitiveness, private debt, housing markets, the banking secto</w:t>
      </w:r>
      <w:r>
        <w:rPr>
          <w:rFonts w:ascii="Times New Roman" w:eastAsia="Times New Roman" w:hAnsi="Times New Roman" w:cs="Times New Roman"/>
          <w:noProof/>
          <w:lang w:eastAsia="en-GB"/>
        </w:rPr>
        <w:t xml:space="preserve">r, and employment. It relies on actual data of good statistical quality to ensure data stability and cross-country consistency. Hence, the scoreboard used for this report reflects data up to 2017. In accordance with the MIP regulation (Regulation (EU) No. </w:t>
      </w:r>
      <w:r>
        <w:rPr>
          <w:rFonts w:ascii="Times New Roman" w:eastAsia="Times New Roman" w:hAnsi="Times New Roman" w:cs="Times New Roman"/>
          <w:noProof/>
          <w:lang w:eastAsia="en-GB"/>
        </w:rPr>
        <w:t>1176/2011), scoreboard values are not read mechanically in the assessments included in the AMR, but are instead subject to an economic reading that enables a deeper understanding of the overall economic context and taking into account country-specific cons</w:t>
      </w:r>
      <w:r>
        <w:rPr>
          <w:rFonts w:ascii="Times New Roman" w:eastAsia="Times New Roman" w:hAnsi="Times New Roman" w:cs="Times New Roman"/>
          <w:noProof/>
          <w:lang w:eastAsia="en-GB"/>
        </w:rPr>
        <w:t>iderations.</w:t>
      </w:r>
      <w:r>
        <w:rPr>
          <w:rFonts w:ascii="Times New Roman" w:eastAsia="Times New Roman" w:hAnsi="Times New Roman" w:cs="Times New Roman"/>
          <w:noProof/>
          <w:vertAlign w:val="superscript"/>
          <w:lang w:eastAsia="en-GB"/>
        </w:rPr>
        <w:footnoteReference w:id="13"/>
      </w:r>
      <w:r>
        <w:rPr>
          <w:rFonts w:ascii="Times New Roman" w:eastAsia="Times New Roman" w:hAnsi="Times New Roman" w:cs="Times New Roman"/>
          <w:noProof/>
          <w:lang w:eastAsia="en-GB"/>
        </w:rPr>
        <w:t xml:space="preserve"> A set of auxiliary indicators complements the reading of the scoreboard. More recent data and additional information, insights from assessment frameworks, as well as findings in existing IDRs and relevant analyses, and the Commission services </w:t>
      </w:r>
      <w:r>
        <w:rPr>
          <w:rFonts w:ascii="Times New Roman" w:eastAsia="Times New Roman" w:hAnsi="Times New Roman" w:cs="Times New Roman"/>
          <w:noProof/>
          <w:lang w:eastAsia="en-GB"/>
        </w:rPr>
        <w:t>autumn 2018 forecast, are also taken into consideration in the AMR assessment.</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Scoreboard variables pertaining to year 2017 point to the persistence of stock imbalances, which are however gradually receding. </w:t>
      </w:r>
      <w:r>
        <w:rPr>
          <w:rFonts w:ascii="Times New Roman" w:eastAsia="Times New Roman" w:hAnsi="Times New Roman" w:cs="Times New Roman"/>
          <w:noProof/>
          <w:lang w:eastAsia="en-GB"/>
        </w:rPr>
        <w:t>Values in excess of the threshold in the AMR sco</w:t>
      </w:r>
      <w:r>
        <w:rPr>
          <w:rFonts w:ascii="Times New Roman" w:eastAsia="Times New Roman" w:hAnsi="Times New Roman" w:cs="Times New Roman"/>
          <w:noProof/>
          <w:lang w:eastAsia="en-GB"/>
        </w:rPr>
        <w:t>reboard continue to be frequent in the case of government debt, net international investment positions, and private debt (Graph 1).</w:t>
      </w:r>
      <w:r>
        <w:rPr>
          <w:rFonts w:ascii="Times New Roman" w:eastAsia="Times New Roman" w:hAnsi="Times New Roman" w:cs="Times New Roman"/>
          <w:noProof/>
          <w:vertAlign w:val="superscript"/>
          <w:lang w:eastAsia="en-GB"/>
        </w:rPr>
        <w:footnoteReference w:id="14"/>
      </w:r>
      <w:r>
        <w:rPr>
          <w:rFonts w:ascii="Times New Roman" w:eastAsia="Times New Roman" w:hAnsi="Times New Roman" w:cs="Times New Roman"/>
          <w:noProof/>
          <w:lang w:eastAsia="en-GB"/>
        </w:rPr>
        <w:t xml:space="preserve"> The number of Member States with outcomes beyond the thresholds for those three indicators is marginally below the frequenc</w:t>
      </w:r>
      <w:r>
        <w:rPr>
          <w:rFonts w:ascii="Times New Roman" w:eastAsia="Times New Roman" w:hAnsi="Times New Roman" w:cs="Times New Roman"/>
          <w:noProof/>
          <w:lang w:eastAsia="en-GB"/>
        </w:rPr>
        <w:t>y recorded in previous scoreboard vintages, and confirms the long-lasting nature of these stock imbalances and an adjustment that is taking place only gradually. The majority of cases of current account balances beyond threshold is mostly linked to persist</w:t>
      </w:r>
      <w:r>
        <w:rPr>
          <w:rFonts w:ascii="Times New Roman" w:eastAsia="Times New Roman" w:hAnsi="Times New Roman" w:cs="Times New Roman"/>
          <w:noProof/>
          <w:lang w:eastAsia="en-GB"/>
        </w:rPr>
        <w:t xml:space="preserve">ently large surpluses; the increase in the frequency of values beyond threshold in 2017 is due to a higher number of large deficits. The ongoing employment recovery is reflected in a further reduction of the number of EU countries with outcomes beyond the </w:t>
      </w:r>
      <w:r>
        <w:rPr>
          <w:rFonts w:ascii="Times New Roman" w:eastAsia="Times New Roman" w:hAnsi="Times New Roman" w:cs="Times New Roman"/>
          <w:noProof/>
          <w:lang w:eastAsia="en-GB"/>
        </w:rPr>
        <w:t>unemployment rate threshold, and more numerous reductions concern the youth and long-term unemployment indicators in light of their usual stronger sensitivity to the labour market situation. Despite the widespread and robust recovery in house prices across</w:t>
      </w:r>
      <w:r>
        <w:rPr>
          <w:rFonts w:ascii="Times New Roman" w:eastAsia="Times New Roman" w:hAnsi="Times New Roman" w:cs="Times New Roman"/>
          <w:noProof/>
          <w:lang w:eastAsia="en-GB"/>
        </w:rPr>
        <w:t xml:space="preserve"> Europe, the scoreboard displays fewer Member States crossing the threshold for housing prices growth, as some countries with readings marginally over the threshold have meanwhile fallen below it. The number of countries with unit labour cost growth above </w:t>
      </w:r>
      <w:r>
        <w:rPr>
          <w:rFonts w:ascii="Times New Roman" w:eastAsia="Times New Roman" w:hAnsi="Times New Roman" w:cs="Times New Roman"/>
          <w:noProof/>
          <w:lang w:eastAsia="en-GB"/>
        </w:rPr>
        <w:t>threshold has remained broadly stable, while a reduced number of countries surpass the thresholds for the real effective exchange rate, and only in cases where the real exchange rate falls below the lower threshold. The number of Member States recording ex</w:t>
      </w:r>
      <w:r>
        <w:rPr>
          <w:rFonts w:ascii="Times New Roman" w:eastAsia="Times New Roman" w:hAnsi="Times New Roman" w:cs="Times New Roman"/>
          <w:noProof/>
          <w:lang w:eastAsia="en-GB"/>
        </w:rPr>
        <w:t xml:space="preserve">port markets share losses in excess of the threshold has further declined. </w:t>
      </w:r>
    </w:p>
    <w:p w:rsidR="007E447C" w:rsidRDefault="004D5789">
      <w:pPr>
        <w:keepNext/>
        <w:spacing w:before="120" w:after="120" w:line="240" w:lineRule="auto"/>
        <w:jc w:val="center"/>
        <w:rPr>
          <w:rFonts w:ascii="Times New Roman" w:eastAsia="MS Mincho" w:hAnsi="Times New Roman" w:cs="Times New Roman"/>
          <w:b/>
          <w:bCs/>
          <w:noProof/>
          <w:sz w:val="24"/>
          <w:szCs w:val="20"/>
          <w:lang w:eastAsia="ja-JP"/>
        </w:rPr>
      </w:pPr>
      <w:bookmarkStart w:id="2" w:name="_Ref525655404"/>
      <w:r>
        <w:rPr>
          <w:rFonts w:ascii="Times New Roman" w:eastAsia="MS Mincho" w:hAnsi="Times New Roman" w:cs="Times New Roman"/>
          <w:b/>
          <w:bCs/>
          <w:noProof/>
          <w:sz w:val="24"/>
          <w:szCs w:val="20"/>
          <w:lang w:eastAsia="ja-JP"/>
        </w:rPr>
        <w:lastRenderedPageBreak/>
        <w:t xml:space="preserve">Graph </w:t>
      </w:r>
      <w:r>
        <w:rPr>
          <w:rFonts w:ascii="Times New Roman" w:eastAsia="MS Mincho" w:hAnsi="Times New Roman" w:cs="Times New Roman"/>
          <w:b/>
          <w:bCs/>
          <w:noProof/>
          <w:sz w:val="24"/>
          <w:szCs w:val="20"/>
          <w:lang w:eastAsia="ja-JP"/>
        </w:rPr>
        <w:fldChar w:fldCharType="begin"/>
      </w:r>
      <w:r>
        <w:rPr>
          <w:rFonts w:ascii="Times New Roman" w:eastAsia="MS Mincho" w:hAnsi="Times New Roman" w:cs="Times New Roman"/>
          <w:b/>
          <w:bCs/>
          <w:noProof/>
          <w:sz w:val="24"/>
          <w:szCs w:val="20"/>
          <w:lang w:eastAsia="ja-JP"/>
        </w:rPr>
        <w:instrText xml:space="preserve"> SEQ Graph \* ARABIC </w:instrText>
      </w:r>
      <w:r>
        <w:rPr>
          <w:rFonts w:ascii="Times New Roman" w:eastAsia="MS Mincho" w:hAnsi="Times New Roman" w:cs="Times New Roman"/>
          <w:b/>
          <w:bCs/>
          <w:noProof/>
          <w:sz w:val="24"/>
          <w:szCs w:val="20"/>
          <w:lang w:eastAsia="ja-JP"/>
        </w:rPr>
        <w:fldChar w:fldCharType="separate"/>
      </w:r>
      <w:r>
        <w:rPr>
          <w:rFonts w:ascii="Times New Roman" w:eastAsia="MS Mincho" w:hAnsi="Times New Roman" w:cs="Times New Roman"/>
          <w:b/>
          <w:bCs/>
          <w:noProof/>
          <w:sz w:val="24"/>
          <w:szCs w:val="20"/>
          <w:lang w:eastAsia="ja-JP"/>
        </w:rPr>
        <w:t>1</w:t>
      </w:r>
      <w:r>
        <w:rPr>
          <w:rFonts w:ascii="Times New Roman" w:eastAsia="MS Mincho" w:hAnsi="Times New Roman" w:cs="Times New Roman"/>
          <w:b/>
          <w:bCs/>
          <w:noProof/>
          <w:sz w:val="24"/>
          <w:szCs w:val="20"/>
          <w:lang w:eastAsia="ja-JP"/>
        </w:rPr>
        <w:fldChar w:fldCharType="end"/>
      </w:r>
      <w:bookmarkEnd w:id="2"/>
      <w:r>
        <w:rPr>
          <w:rFonts w:ascii="Times New Roman" w:eastAsia="MS Mincho" w:hAnsi="Times New Roman" w:cs="Times New Roman"/>
          <w:b/>
          <w:bCs/>
          <w:noProof/>
          <w:sz w:val="24"/>
          <w:szCs w:val="20"/>
          <w:lang w:eastAsia="ja-JP"/>
        </w:rPr>
        <w:t>: Number of countries recording scoreboard variables beyond threshold</w:t>
      </w:r>
    </w:p>
    <w:p w:rsidR="007E447C" w:rsidRDefault="004D5789">
      <w:pPr>
        <w:keepNext/>
        <w:spacing w:before="120" w:after="120" w:line="240" w:lineRule="auto"/>
        <w:jc w:val="center"/>
        <w:rPr>
          <w:rFonts w:ascii="Times New Roman" w:eastAsia="MS Mincho" w:hAnsi="Times New Roman" w:cs="Times New Roman"/>
          <w:b/>
          <w:bCs/>
          <w:noProof/>
          <w:sz w:val="24"/>
          <w:szCs w:val="20"/>
          <w:lang w:eastAsia="ja-JP"/>
        </w:rPr>
      </w:pPr>
      <w:bookmarkStart w:id="3" w:name="scoreboard"/>
      <w:r>
        <w:rPr>
          <w:rFonts w:ascii="Times New Roman" w:eastAsia="MS Mincho" w:hAnsi="Times New Roman" w:cs="Times New Roman"/>
          <w:b/>
          <w:bCs/>
          <w:noProof/>
          <w:sz w:val="24"/>
          <w:szCs w:val="20"/>
          <w:lang w:eastAsia="en-GB"/>
        </w:rPr>
        <w:drawing>
          <wp:inline distT="0" distB="0" distL="0" distR="0">
            <wp:extent cx="5760720" cy="271747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17470"/>
                    </a:xfrm>
                    <a:prstGeom prst="rect">
                      <a:avLst/>
                    </a:prstGeom>
                    <a:noFill/>
                    <a:ln>
                      <a:noFill/>
                    </a:ln>
                  </pic:spPr>
                </pic:pic>
              </a:graphicData>
            </a:graphic>
          </wp:inline>
        </w:drawing>
      </w:r>
      <w:bookmarkEnd w:id="3"/>
    </w:p>
    <w:p w:rsidR="007E447C" w:rsidRDefault="004D5789">
      <w:pPr>
        <w:spacing w:before="120" w:after="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Eurostat.</w:t>
      </w:r>
    </w:p>
    <w:p w:rsidR="007E447C" w:rsidRDefault="004D5789">
      <w:pPr>
        <w:spacing w:after="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 xml:space="preserve">Note: </w:t>
      </w:r>
      <w:r>
        <w:rPr>
          <w:rFonts w:ascii="Times New Roman" w:eastAsia="Times New Roman" w:hAnsi="Times New Roman" w:cs="Times New Roman"/>
          <w:noProof/>
          <w:sz w:val="20"/>
          <w:szCs w:val="20"/>
          <w:lang w:eastAsia="en-GB"/>
        </w:rPr>
        <w:t xml:space="preserve">the number of countries recording scoreboard </w:t>
      </w:r>
      <w:r>
        <w:rPr>
          <w:rFonts w:ascii="Times New Roman" w:eastAsia="Times New Roman" w:hAnsi="Times New Roman" w:cs="Times New Roman"/>
          <w:noProof/>
          <w:sz w:val="20"/>
          <w:szCs w:val="20"/>
          <w:lang w:eastAsia="en-GB"/>
        </w:rPr>
        <w:t>variables beyond threshold is based on the vintage of the scoreboard published with the respective annual AMR. Possible ex-post data revisions may imply a difference in the number of values beyond threshold computed using the latest figures for the scorebo</w:t>
      </w:r>
      <w:r>
        <w:rPr>
          <w:rFonts w:ascii="Times New Roman" w:eastAsia="Times New Roman" w:hAnsi="Times New Roman" w:cs="Times New Roman"/>
          <w:noProof/>
          <w:sz w:val="20"/>
          <w:szCs w:val="20"/>
          <w:lang w:eastAsia="en-GB"/>
        </w:rPr>
        <w:t>ard variables compared with the number reported in the graph above.</w:t>
      </w:r>
    </w:p>
    <w:p w:rsidR="007E447C" w:rsidRDefault="007E447C">
      <w:pPr>
        <w:spacing w:after="0" w:line="240" w:lineRule="auto"/>
        <w:jc w:val="both"/>
        <w:rPr>
          <w:rFonts w:ascii="Times New Roman" w:eastAsia="Times New Roman" w:hAnsi="Times New Roman" w:cs="Times New Roman"/>
          <w:noProof/>
          <w:szCs w:val="24"/>
          <w:lang w:eastAsia="en-GB"/>
        </w:rPr>
      </w:pPr>
    </w:p>
    <w:p w:rsidR="007E447C" w:rsidRDefault="007E447C">
      <w:pPr>
        <w:spacing w:after="0" w:line="240" w:lineRule="auto"/>
        <w:jc w:val="both"/>
        <w:rPr>
          <w:rFonts w:ascii="Times New Roman" w:eastAsia="Times New Roman" w:hAnsi="Times New Roman" w:cs="Times New Roman"/>
          <w:noProof/>
          <w:szCs w:val="24"/>
          <w:lang w:eastAsia="en-GB"/>
        </w:rPr>
      </w:pP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Most EU countries continue recording current accounts in balance or in surplus and the large current account surpluses in some countries persist, declining marginally at best.</w:t>
      </w:r>
      <w:r>
        <w:rPr>
          <w:rFonts w:ascii="Times New Roman" w:eastAsia="Times New Roman" w:hAnsi="Times New Roman" w:cs="Times New Roman"/>
          <w:noProof/>
          <w:lang w:eastAsia="en-GB"/>
        </w:rPr>
        <w:t xml:space="preserve"> Overall, r</w:t>
      </w:r>
      <w:r>
        <w:rPr>
          <w:rFonts w:ascii="Times New Roman" w:eastAsia="Times New Roman" w:hAnsi="Times New Roman" w:cs="Times New Roman"/>
          <w:noProof/>
          <w:lang w:eastAsia="en-GB"/>
        </w:rPr>
        <w:t>ecent changes in current account balances have been relatively limited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_Ref525667599 \h  \* MERGEFORMAT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rFonts w:ascii="Times New Roman" w:eastAsia="Times New Roman" w:hAnsi="Times New Roman" w:cs="Times New Roman"/>
          <w:noProof/>
          <w:lang w:eastAsia="en-GB"/>
        </w:rPr>
        <w:t>Graph 3</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Most of the large and unsustainable current account deficits had adju</w:t>
      </w:r>
      <w:r>
        <w:rPr>
          <w:rFonts w:ascii="Times New Roman" w:eastAsia="Times New Roman" w:hAnsi="Times New Roman" w:cs="Times New Roman"/>
          <w:noProof/>
          <w:lang w:eastAsia="en-GB"/>
        </w:rPr>
        <w:t>sted already by the first years of the decade and turned into surpluses or balanced positions, which have been preserved and often marginally augmented over more recent years. The large surpluses in net-creditor countries have overall remained little chang</w:t>
      </w:r>
      <w:r>
        <w:rPr>
          <w:rFonts w:ascii="Times New Roman" w:eastAsia="Times New Roman" w:hAnsi="Times New Roman" w:cs="Times New Roman"/>
          <w:noProof/>
          <w:lang w:eastAsia="en-GB"/>
        </w:rPr>
        <w:t>ed or even increased. Current account balances are only to a limited extent driven by cyclical factors: the difference between actual and cyclically-adjusted current accounts is generally minor, and declining, against a backdrop of narrowing output gaps (G</w:t>
      </w:r>
      <w:r>
        <w:rPr>
          <w:rFonts w:ascii="Times New Roman" w:eastAsia="Times New Roman" w:hAnsi="Times New Roman" w:cs="Times New Roman"/>
          <w:noProof/>
          <w:lang w:eastAsia="en-GB"/>
        </w:rPr>
        <w:t>raph 2).</w:t>
      </w:r>
      <w:bookmarkStart w:id="4" w:name="_Ref526849001"/>
      <w:r>
        <w:rPr>
          <w:rStyle w:val="FootnoteReference"/>
          <w:noProof/>
        </w:rPr>
        <w:footnoteReference w:id="15"/>
      </w:r>
      <w:bookmarkEnd w:id="4"/>
      <w:r>
        <w:rPr>
          <w:noProof/>
        </w:rPr>
        <w:t xml:space="preserve"> </w:t>
      </w:r>
      <w:r>
        <w:rPr>
          <w:rFonts w:ascii="Times New Roman" w:eastAsia="Times New Roman" w:hAnsi="Times New Roman" w:cs="Times New Roman"/>
          <w:noProof/>
          <w:lang w:eastAsia="en-GB"/>
        </w:rPr>
        <w:t>For most of the EU countries, recent current account outcomes exceed what could be expected on the basis of fundamentals (e.g., ageing and per-capita income).</w:t>
      </w:r>
      <w:bookmarkStart w:id="5" w:name="_Ref526526513"/>
      <w:r>
        <w:rPr>
          <w:rFonts w:ascii="Times New Roman" w:eastAsia="Times New Roman" w:hAnsi="Times New Roman" w:cs="Times New Roman"/>
          <w:noProof/>
          <w:vertAlign w:val="superscript"/>
          <w:lang w:eastAsia="en-GB"/>
        </w:rPr>
        <w:footnoteReference w:id="16"/>
      </w:r>
      <w:bookmarkEnd w:id="5"/>
      <w:r>
        <w:rPr>
          <w:rFonts w:ascii="Times New Roman" w:eastAsia="Times New Roman" w:hAnsi="Times New Roman" w:cs="Times New Roman"/>
          <w:noProof/>
          <w:lang w:eastAsia="en-GB"/>
        </w:rPr>
        <w:t xml:space="preserve"> However, in some cases, recent outturns may still be insufficient to run down the stoc</w:t>
      </w:r>
      <w:r>
        <w:rPr>
          <w:rFonts w:ascii="Times New Roman" w:eastAsia="Times New Roman" w:hAnsi="Times New Roman" w:cs="Times New Roman"/>
          <w:noProof/>
          <w:lang w:eastAsia="en-GB"/>
        </w:rPr>
        <w:t>k of net foreign liabilities at an appropriate pace. Broadly balanced current account positions in 2017 owed less than before to cyclical conditions, as negative output gaps in Member States are narrowing or turning positive. Driven by rising oil prices, d</w:t>
      </w:r>
      <w:r>
        <w:rPr>
          <w:rFonts w:ascii="Times New Roman" w:eastAsia="Times New Roman" w:hAnsi="Times New Roman" w:cs="Times New Roman"/>
          <w:noProof/>
          <w:lang w:eastAsia="en-GB"/>
        </w:rPr>
        <w:t>evelopments in the energy balance detracted from the overall balance almost everywhere but often only slightly (see Table 2.1 in annex for data on the energy balance).</w:t>
      </w:r>
    </w:p>
    <w:p w:rsidR="007E447C" w:rsidRDefault="004D5789">
      <w:pPr>
        <w:numPr>
          <w:ilvl w:val="0"/>
          <w:numId w:val="8"/>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lastRenderedPageBreak/>
        <w:t xml:space="preserve">Cyprus is the Member State that records the largest current account deficit, beyond the </w:t>
      </w:r>
      <w:r>
        <w:rPr>
          <w:rFonts w:ascii="Times New Roman" w:eastAsia="Times New Roman" w:hAnsi="Times New Roman" w:cs="Times New Roman"/>
          <w:b/>
          <w:noProof/>
          <w:lang w:eastAsia="en-GB"/>
        </w:rPr>
        <w:t>MIP threshold</w:t>
      </w:r>
      <w:r>
        <w:rPr>
          <w:rFonts w:ascii="Times New Roman" w:eastAsia="Times New Roman" w:hAnsi="Times New Roman" w:cs="Times New Roman"/>
          <w:noProof/>
          <w:lang w:eastAsia="en-GB"/>
        </w:rPr>
        <w:t xml:space="preserve"> (based on the average of the 3 years to 2017). Readings of annual data have worsened in recent years only for Cyprus. The outcomes are </w:t>
      </w:r>
      <w:r>
        <w:rPr>
          <w:rFonts w:ascii="Times New Roman" w:eastAsia="Times New Roman" w:hAnsi="Times New Roman" w:cs="Times New Roman"/>
          <w:b/>
          <w:noProof/>
          <w:lang w:eastAsia="en-GB"/>
        </w:rPr>
        <w:t>below</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what fundamentals would suggest</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and what is required to improve the NIIP at appropriate pace</w:t>
      </w:r>
      <w:r>
        <w:rPr>
          <w:rFonts w:ascii="Times New Roman" w:eastAsia="Times New Roman" w:hAnsi="Times New Roman" w:cs="Times New Roman"/>
          <w:noProof/>
          <w:lang w:eastAsia="en-GB"/>
        </w:rPr>
        <w:t xml:space="preserve"> and the deterioration in the current account in 2017 cannot be accounted for by the impact of the cycle. Outside the euro area, the current account of the United Kingdom is also below the MIP scoreboard threshold.</w:t>
      </w:r>
    </w:p>
    <w:p w:rsidR="007E447C" w:rsidRDefault="004D5789">
      <w:pPr>
        <w:numPr>
          <w:ilvl w:val="0"/>
          <w:numId w:val="8"/>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2017, only </w:t>
      </w:r>
      <w:r>
        <w:rPr>
          <w:rFonts w:ascii="Times New Roman" w:eastAsia="Times New Roman" w:hAnsi="Times New Roman" w:cs="Times New Roman"/>
          <w:b/>
          <w:noProof/>
          <w:lang w:eastAsia="en-GB"/>
        </w:rPr>
        <w:t>five other Member States re</w:t>
      </w:r>
      <w:r>
        <w:rPr>
          <w:rFonts w:ascii="Times New Roman" w:eastAsia="Times New Roman" w:hAnsi="Times New Roman" w:cs="Times New Roman"/>
          <w:b/>
          <w:noProof/>
          <w:lang w:eastAsia="en-GB"/>
        </w:rPr>
        <w:t>corded current account deficits</w:t>
      </w:r>
      <w:r>
        <w:rPr>
          <w:rFonts w:ascii="Times New Roman" w:eastAsia="Times New Roman" w:hAnsi="Times New Roman" w:cs="Times New Roman"/>
          <w:noProof/>
          <w:lang w:eastAsia="en-GB"/>
        </w:rPr>
        <w:t xml:space="preserve">: Finland, France, Greece, Romania, and Slovakia, with only the latter two recording values worse than 1% of GDP. </w:t>
      </w:r>
      <w:r>
        <w:rPr>
          <w:rFonts w:ascii="Times New Roman" w:eastAsia="Times New Roman" w:hAnsi="Times New Roman" w:cs="Times New Roman"/>
          <w:b/>
          <w:noProof/>
          <w:lang w:eastAsia="en-GB"/>
        </w:rPr>
        <w:t>Romania recorded a deterioration</w:t>
      </w:r>
      <w:r>
        <w:rPr>
          <w:rFonts w:ascii="Times New Roman" w:eastAsia="Times New Roman" w:hAnsi="Times New Roman" w:cs="Times New Roman"/>
          <w:noProof/>
          <w:lang w:eastAsia="en-GB"/>
        </w:rPr>
        <w:t xml:space="preserve"> in its current account deficit that appears below fundamentals for 2017. </w:t>
      </w:r>
      <w:r>
        <w:rPr>
          <w:rFonts w:ascii="Times New Roman" w:eastAsia="Times New Roman" w:hAnsi="Times New Roman" w:cs="Times New Roman"/>
          <w:b/>
          <w:noProof/>
          <w:lang w:eastAsia="en-GB"/>
        </w:rPr>
        <w:t>Greec</w:t>
      </w:r>
      <w:r>
        <w:rPr>
          <w:rFonts w:ascii="Times New Roman" w:eastAsia="Times New Roman" w:hAnsi="Times New Roman" w:cs="Times New Roman"/>
          <w:b/>
          <w:noProof/>
          <w:lang w:eastAsia="en-GB"/>
        </w:rPr>
        <w:t>e stands out for the large contribution of the negative output gap</w:t>
      </w:r>
      <w:r>
        <w:rPr>
          <w:rFonts w:ascii="Times New Roman" w:eastAsia="Times New Roman" w:hAnsi="Times New Roman" w:cs="Times New Roman"/>
          <w:noProof/>
          <w:lang w:eastAsia="en-GB"/>
        </w:rPr>
        <w:t xml:space="preserve"> for the low headline current account deficit; controlling for cycle, the current account appears below the level required to reduce the NIIP at rapid pace and below the current account norm</w:t>
      </w:r>
      <w:r>
        <w:rPr>
          <w:rFonts w:ascii="Times New Roman" w:eastAsia="Times New Roman" w:hAnsi="Times New Roman" w:cs="Times New Roman"/>
          <w:noProof/>
          <w:lang w:eastAsia="en-GB"/>
        </w:rPr>
        <w:t xml:space="preserve">. </w:t>
      </w:r>
    </w:p>
    <w:p w:rsidR="007E447C" w:rsidRDefault="004D5789">
      <w:pPr>
        <w:numPr>
          <w:ilvl w:val="0"/>
          <w:numId w:val="8"/>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Countries with a largely negative NIIPs </w:t>
      </w:r>
      <w:r>
        <w:rPr>
          <w:rFonts w:ascii="Times New Roman" w:eastAsia="Times New Roman" w:hAnsi="Times New Roman" w:cs="Times New Roman"/>
          <w:noProof/>
          <w:lang w:eastAsia="en-GB"/>
        </w:rPr>
        <w:t>like Portugal and Spain had current account outturns above what could be expected on the basis of fundamentals but not sufficient to ensure an improvement of the NIIP at appropriate pace in the case of Portugal. C</w:t>
      </w:r>
      <w:r>
        <w:rPr>
          <w:rFonts w:ascii="Times New Roman" w:eastAsia="Times New Roman" w:hAnsi="Times New Roman" w:cs="Times New Roman"/>
          <w:noProof/>
          <w:lang w:eastAsia="en-GB"/>
        </w:rPr>
        <w:t>roatia posted a surplus that is conducive to a reduction of the NIIP at satisfactory pace. Ireland showed a large current account surplus in 2017 after a deficit in 2016, following recent substantial downward backward revisions. In the case of Ireland, cur</w:t>
      </w:r>
      <w:r>
        <w:rPr>
          <w:rFonts w:ascii="Times New Roman" w:eastAsia="Times New Roman" w:hAnsi="Times New Roman" w:cs="Times New Roman"/>
          <w:noProof/>
          <w:lang w:eastAsia="en-GB"/>
        </w:rPr>
        <w:t>rent account figures are markedly affected by cross-border transactions linked to the activities of multinational corporations.</w:t>
      </w:r>
    </w:p>
    <w:p w:rsidR="007E447C" w:rsidRDefault="004D5789">
      <w:pPr>
        <w:numPr>
          <w:ilvl w:val="0"/>
          <w:numId w:val="8"/>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Four EU countries currently exceed the MIP scoreboard threshold on account of surpluses</w:t>
      </w:r>
      <w:r>
        <w:rPr>
          <w:rFonts w:ascii="Times New Roman" w:eastAsia="Times New Roman" w:hAnsi="Times New Roman" w:cs="Times New Roman"/>
          <w:noProof/>
          <w:lang w:eastAsia="en-GB"/>
        </w:rPr>
        <w:t>. Values above threshold have been observ</w:t>
      </w:r>
      <w:r>
        <w:rPr>
          <w:rFonts w:ascii="Times New Roman" w:eastAsia="Times New Roman" w:hAnsi="Times New Roman" w:cs="Times New Roman"/>
          <w:noProof/>
          <w:lang w:eastAsia="en-GB"/>
        </w:rPr>
        <w:t>ed in Denmark, Germany and the Netherlands for several years and in Malta more recently. In 2017, the German surplus declined by 0.5% of GDP, while the surplus in the Netherlands widened by 2.5% of GDP. In all these four cases, those surpluses outturns are</w:t>
      </w:r>
      <w:r>
        <w:rPr>
          <w:rFonts w:ascii="Times New Roman" w:eastAsia="Times New Roman" w:hAnsi="Times New Roman" w:cs="Times New Roman"/>
          <w:noProof/>
          <w:lang w:eastAsia="en-GB"/>
        </w:rPr>
        <w:t xml:space="preserve"> well </w:t>
      </w:r>
      <w:r>
        <w:rPr>
          <w:rFonts w:ascii="Times New Roman" w:eastAsia="Times New Roman" w:hAnsi="Times New Roman" w:cs="Times New Roman"/>
          <w:b/>
          <w:noProof/>
          <w:lang w:eastAsia="en-GB"/>
        </w:rPr>
        <w:t>above what can be explained by fundamentals</w:t>
      </w:r>
      <w:r>
        <w:rPr>
          <w:rFonts w:ascii="Times New Roman" w:eastAsia="Times New Roman" w:hAnsi="Times New Roman" w:cs="Times New Roman"/>
          <w:noProof/>
          <w:lang w:eastAsia="en-GB"/>
        </w:rPr>
        <w:t>, always by at least 5 percentage points of GDP. The dynamics of the surplus in the Netherlands and Malta were considerably driven by cross-border transactions linked to the activities of multinational corpo</w:t>
      </w:r>
      <w:r>
        <w:rPr>
          <w:rFonts w:ascii="Times New Roman" w:eastAsia="Times New Roman" w:hAnsi="Times New Roman" w:cs="Times New Roman"/>
          <w:noProof/>
          <w:lang w:eastAsia="en-GB"/>
        </w:rPr>
        <w:t xml:space="preserve">rations and </w:t>
      </w:r>
      <w:r>
        <w:rPr>
          <w:rFonts w:ascii="Times New Roman" w:hAnsi="Times New Roman" w:cs="Times New Roman"/>
          <w:noProof/>
        </w:rPr>
        <w:t>of internationally-oriented service sectors that affect both the trade and income balances. A number of other countries have been recording current account surpluses for some years even if below the threshold, which is also the case of large eu</w:t>
      </w:r>
      <w:r>
        <w:rPr>
          <w:rFonts w:ascii="Times New Roman" w:hAnsi="Times New Roman" w:cs="Times New Roman"/>
          <w:noProof/>
        </w:rPr>
        <w:t>ro area countries, notably Italy (see also Box 2 for more on the euro area current account surplus).</w:t>
      </w:r>
    </w:p>
    <w:p w:rsidR="007E447C" w:rsidRDefault="004D5789">
      <w:pPr>
        <w:rPr>
          <w:rFonts w:ascii="Times New Roman" w:eastAsia="MS Mincho" w:hAnsi="Times New Roman" w:cs="Times New Roman"/>
          <w:b/>
          <w:bCs/>
          <w:noProof/>
          <w:lang w:eastAsia="ja-JP"/>
        </w:rPr>
      </w:pPr>
      <w:bookmarkStart w:id="6" w:name="_Ref525663215"/>
      <w:bookmarkStart w:id="7" w:name="_Ref525663190"/>
      <w:r>
        <w:rPr>
          <w:rFonts w:ascii="Times New Roman" w:eastAsia="MS Mincho" w:hAnsi="Times New Roman" w:cs="Times New Roman"/>
          <w:b/>
          <w:bCs/>
          <w:noProof/>
          <w:lang w:eastAsia="ja-JP"/>
        </w:rPr>
        <w:br w:type="page"/>
      </w:r>
    </w:p>
    <w:p w:rsidR="007E447C" w:rsidRDefault="004D5789">
      <w:pPr>
        <w:keepNext/>
        <w:spacing w:before="120" w:after="120" w:line="240" w:lineRule="auto"/>
        <w:jc w:val="center"/>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lastRenderedPageBreak/>
        <w:t xml:space="preserve">Graph </w:t>
      </w:r>
      <w:r>
        <w:rPr>
          <w:rFonts w:ascii="Times New Roman" w:eastAsia="MS Mincho" w:hAnsi="Times New Roman" w:cs="Times New Roman"/>
          <w:b/>
          <w:bCs/>
          <w:noProof/>
          <w:lang w:eastAsia="ja-JP"/>
        </w:rPr>
        <w:fldChar w:fldCharType="begin"/>
      </w:r>
      <w:r>
        <w:rPr>
          <w:rFonts w:ascii="Times New Roman" w:eastAsia="MS Mincho" w:hAnsi="Times New Roman" w:cs="Times New Roman"/>
          <w:b/>
          <w:bCs/>
          <w:noProof/>
          <w:lang w:eastAsia="ja-JP"/>
        </w:rPr>
        <w:instrText xml:space="preserve"> SEQ Graph \* ARABIC </w:instrText>
      </w:r>
      <w:r>
        <w:rPr>
          <w:rFonts w:ascii="Times New Roman" w:eastAsia="MS Mincho" w:hAnsi="Times New Roman" w:cs="Times New Roman"/>
          <w:b/>
          <w:bCs/>
          <w:noProof/>
          <w:lang w:eastAsia="ja-JP"/>
        </w:rPr>
        <w:fldChar w:fldCharType="separate"/>
      </w:r>
      <w:r>
        <w:rPr>
          <w:rFonts w:ascii="Times New Roman" w:eastAsia="MS Mincho" w:hAnsi="Times New Roman" w:cs="Times New Roman"/>
          <w:b/>
          <w:bCs/>
          <w:noProof/>
          <w:lang w:eastAsia="ja-JP"/>
        </w:rPr>
        <w:t>2</w:t>
      </w:r>
      <w:r>
        <w:rPr>
          <w:rFonts w:ascii="Times New Roman" w:eastAsia="MS Mincho" w:hAnsi="Times New Roman" w:cs="Times New Roman"/>
          <w:b/>
          <w:bCs/>
          <w:noProof/>
          <w:lang w:eastAsia="ja-JP"/>
        </w:rPr>
        <w:fldChar w:fldCharType="end"/>
      </w:r>
      <w:bookmarkEnd w:id="6"/>
      <w:r>
        <w:rPr>
          <w:rFonts w:ascii="Times New Roman" w:eastAsia="MS Mincho" w:hAnsi="Times New Roman" w:cs="Times New Roman"/>
          <w:b/>
          <w:bCs/>
          <w:noProof/>
          <w:lang w:eastAsia="ja-JP"/>
        </w:rPr>
        <w:t xml:space="preserve">: </w:t>
      </w:r>
      <w:bookmarkStart w:id="8" w:name="_Ref525663183"/>
      <w:r>
        <w:rPr>
          <w:rFonts w:ascii="Times New Roman" w:eastAsia="MS Mincho" w:hAnsi="Times New Roman" w:cs="Times New Roman"/>
          <w:b/>
          <w:bCs/>
          <w:noProof/>
          <w:lang w:eastAsia="ja-JP"/>
        </w:rPr>
        <w:t>Current account balances and benchmarks</w:t>
      </w:r>
      <w:bookmarkEnd w:id="7"/>
      <w:bookmarkEnd w:id="8"/>
      <w:r>
        <w:rPr>
          <w:rFonts w:ascii="Times New Roman" w:eastAsia="MS Mincho" w:hAnsi="Times New Roman" w:cs="Times New Roman"/>
          <w:b/>
          <w:bCs/>
          <w:noProof/>
          <w:lang w:eastAsia="ja-JP"/>
        </w:rPr>
        <w:t xml:space="preserve"> in 2017</w:t>
      </w:r>
    </w:p>
    <w:p w:rsidR="007E447C" w:rsidRDefault="004D5789">
      <w:pPr>
        <w:keepNext/>
        <w:spacing w:before="120" w:after="120" w:line="240" w:lineRule="auto"/>
        <w:jc w:val="center"/>
        <w:rPr>
          <w:rFonts w:ascii="Times New Roman" w:eastAsia="MS Mincho" w:hAnsi="Times New Roman" w:cs="Times New Roman"/>
          <w:b/>
          <w:bCs/>
          <w:noProof/>
          <w:lang w:eastAsia="ja-JP"/>
        </w:rPr>
      </w:pPr>
      <w:bookmarkStart w:id="9" w:name="cas"/>
      <w:r>
        <w:rPr>
          <w:rFonts w:ascii="Times New Roman" w:eastAsia="MS Mincho" w:hAnsi="Times New Roman" w:cs="Times New Roman"/>
          <w:b/>
          <w:bCs/>
          <w:noProof/>
          <w:lang w:eastAsia="en-GB"/>
        </w:rPr>
        <w:drawing>
          <wp:inline distT="0" distB="0" distL="0" distR="0">
            <wp:extent cx="5254625" cy="286575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4625" cy="2865755"/>
                    </a:xfrm>
                    <a:prstGeom prst="rect">
                      <a:avLst/>
                    </a:prstGeom>
                    <a:noFill/>
                    <a:ln>
                      <a:noFill/>
                    </a:ln>
                  </pic:spPr>
                </pic:pic>
              </a:graphicData>
            </a:graphic>
          </wp:inline>
        </w:drawing>
      </w:r>
      <w:bookmarkEnd w:id="9"/>
    </w:p>
    <w:p w:rsidR="007E447C" w:rsidRDefault="004D5789">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Eurostat (BPM6 data) and Commission services calculations.</w:t>
      </w:r>
    </w:p>
    <w:p w:rsidR="007E447C" w:rsidRDefault="004D5789">
      <w:pPr>
        <w:spacing w:after="0" w:line="240" w:lineRule="auto"/>
        <w:jc w:val="both"/>
        <w:rPr>
          <w:noProof/>
          <w:sz w:val="20"/>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xml:space="preserve"> Countries are ranked by current account balance in 2017. </w:t>
      </w:r>
      <w:r>
        <w:rPr>
          <w:i/>
          <w:noProof/>
          <w:sz w:val="20"/>
        </w:rPr>
        <w:t>Cyclically-adjusted current account balances</w:t>
      </w:r>
      <w:r>
        <w:rPr>
          <w:noProof/>
          <w:sz w:val="20"/>
        </w:rPr>
        <w:t xml:space="preserve">: see footnote </w:t>
      </w:r>
      <w:r>
        <w:rPr>
          <w:noProof/>
          <w:sz w:val="20"/>
        </w:rPr>
        <w:fldChar w:fldCharType="begin"/>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Current account norm</w:t>
      </w:r>
      <w:r>
        <w:rPr>
          <w:i/>
          <w:noProof/>
          <w:sz w:val="20"/>
        </w:rPr>
        <w:t>s</w:t>
      </w:r>
      <w:r>
        <w:rPr>
          <w:noProof/>
          <w:sz w:val="20"/>
        </w:rPr>
        <w:t xml:space="preserve">: see footnote </w:t>
      </w:r>
      <w:r>
        <w:rPr>
          <w:noProof/>
          <w:sz w:val="20"/>
        </w:rPr>
        <w:fldChar w:fldCharType="begin"/>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The </w:t>
      </w:r>
      <w:r>
        <w:rPr>
          <w:i/>
          <w:noProof/>
          <w:sz w:val="20"/>
        </w:rPr>
        <w:t>NIIP-stabilising current account</w:t>
      </w:r>
      <w:r>
        <w:rPr>
          <w:noProof/>
          <w:sz w:val="20"/>
        </w:rPr>
        <w:t xml:space="preserve"> benchmark is defined as the current account required to stabilise the NIIP at the current</w:t>
      </w:r>
      <w:r>
        <w:rPr>
          <w:noProof/>
          <w:sz w:val="20"/>
        </w:rPr>
        <w:t xml:space="preserve"> level over the next 10 years or, if the current NIIP is below its country-specific prudential threshold, the current account required to reach the NIIP prudential threshold over the next 10 years.</w:t>
      </w:r>
      <w:r>
        <w:rPr>
          <w:rFonts w:ascii="Times New Roman" w:eastAsia="Times New Roman" w:hAnsi="Times New Roman" w:cs="Times New Roman"/>
          <w:noProof/>
          <w:sz w:val="20"/>
          <w:szCs w:val="20"/>
          <w:vertAlign w:val="superscript"/>
          <w:lang w:eastAsia="en-GB"/>
        </w:rPr>
        <w:footnoteReference w:id="17"/>
      </w:r>
      <w:r>
        <w:rPr>
          <w:noProof/>
          <w:sz w:val="20"/>
        </w:rPr>
        <w:t xml:space="preserve"> </w:t>
      </w:r>
    </w:p>
    <w:p w:rsidR="007E447C" w:rsidRDefault="007E447C">
      <w:pPr>
        <w:spacing w:before="120" w:after="0" w:line="240" w:lineRule="auto"/>
        <w:jc w:val="both"/>
        <w:rPr>
          <w:rFonts w:ascii="Times New Roman" w:eastAsia="Times New Roman" w:hAnsi="Times New Roman" w:cs="Times New Roman"/>
          <w:noProof/>
          <w:szCs w:val="24"/>
          <w:lang w:eastAsia="en-GB"/>
        </w:rPr>
      </w:pPr>
    </w:p>
    <w:p w:rsidR="007E447C" w:rsidRDefault="004D5789">
      <w:pPr>
        <w:keepNext/>
        <w:spacing w:before="120" w:after="120" w:line="240" w:lineRule="auto"/>
        <w:jc w:val="center"/>
        <w:rPr>
          <w:rFonts w:ascii="Times New Roman" w:eastAsia="MS Mincho" w:hAnsi="Times New Roman" w:cs="Times New Roman"/>
          <w:b/>
          <w:bCs/>
          <w:noProof/>
          <w:lang w:eastAsia="ja-JP"/>
        </w:rPr>
      </w:pPr>
      <w:bookmarkStart w:id="10" w:name="_Ref525667599"/>
      <w:r>
        <w:rPr>
          <w:rFonts w:ascii="Times New Roman" w:eastAsia="MS Mincho" w:hAnsi="Times New Roman" w:cs="Times New Roman"/>
          <w:b/>
          <w:bCs/>
          <w:noProof/>
          <w:lang w:eastAsia="ja-JP"/>
        </w:rPr>
        <w:t xml:space="preserve">Graph </w:t>
      </w:r>
      <w:r>
        <w:rPr>
          <w:rFonts w:ascii="Times New Roman" w:eastAsia="MS Mincho" w:hAnsi="Times New Roman" w:cs="Times New Roman"/>
          <w:b/>
          <w:bCs/>
          <w:noProof/>
          <w:lang w:eastAsia="ja-JP"/>
        </w:rPr>
        <w:fldChar w:fldCharType="begin"/>
      </w:r>
      <w:r>
        <w:rPr>
          <w:rFonts w:ascii="Times New Roman" w:eastAsia="MS Mincho" w:hAnsi="Times New Roman" w:cs="Times New Roman"/>
          <w:b/>
          <w:bCs/>
          <w:noProof/>
          <w:lang w:eastAsia="ja-JP"/>
        </w:rPr>
        <w:instrText xml:space="preserve"> SEQ Graph \* ARABIC </w:instrText>
      </w:r>
      <w:r>
        <w:rPr>
          <w:rFonts w:ascii="Times New Roman" w:eastAsia="MS Mincho" w:hAnsi="Times New Roman" w:cs="Times New Roman"/>
          <w:b/>
          <w:bCs/>
          <w:noProof/>
          <w:lang w:eastAsia="ja-JP"/>
        </w:rPr>
        <w:fldChar w:fldCharType="separate"/>
      </w:r>
      <w:r>
        <w:rPr>
          <w:rFonts w:ascii="Times New Roman" w:eastAsia="MS Mincho" w:hAnsi="Times New Roman" w:cs="Times New Roman"/>
          <w:b/>
          <w:bCs/>
          <w:noProof/>
          <w:lang w:eastAsia="ja-JP"/>
        </w:rPr>
        <w:t>3</w:t>
      </w:r>
      <w:r>
        <w:rPr>
          <w:rFonts w:ascii="Times New Roman" w:eastAsia="MS Mincho" w:hAnsi="Times New Roman" w:cs="Times New Roman"/>
          <w:b/>
          <w:bCs/>
          <w:noProof/>
          <w:lang w:eastAsia="ja-JP"/>
        </w:rPr>
        <w:fldChar w:fldCharType="end"/>
      </w:r>
      <w:bookmarkEnd w:id="10"/>
      <w:r>
        <w:rPr>
          <w:rFonts w:ascii="Times New Roman" w:eastAsia="MS Mincho" w:hAnsi="Times New Roman" w:cs="Times New Roman"/>
          <w:b/>
          <w:bCs/>
          <w:noProof/>
          <w:lang w:eastAsia="ja-JP"/>
        </w:rPr>
        <w:t xml:space="preserve">: Evolution of current </w:t>
      </w:r>
      <w:r>
        <w:rPr>
          <w:rFonts w:ascii="Times New Roman" w:eastAsia="MS Mincho" w:hAnsi="Times New Roman" w:cs="Times New Roman"/>
          <w:b/>
          <w:bCs/>
          <w:noProof/>
          <w:lang w:eastAsia="ja-JP"/>
        </w:rPr>
        <w:t>account balances</w:t>
      </w:r>
    </w:p>
    <w:p w:rsidR="007E447C" w:rsidRDefault="004D5789">
      <w:pPr>
        <w:keepNext/>
        <w:spacing w:before="120" w:after="120" w:line="240" w:lineRule="auto"/>
        <w:jc w:val="center"/>
        <w:rPr>
          <w:rFonts w:ascii="Times New Roman" w:eastAsia="MS Mincho" w:hAnsi="Times New Roman" w:cs="Times New Roman"/>
          <w:b/>
          <w:bCs/>
          <w:noProof/>
          <w:lang w:eastAsia="ja-JP"/>
        </w:rPr>
      </w:pPr>
      <w:bookmarkStart w:id="11" w:name="caevolve"/>
      <w:r>
        <w:rPr>
          <w:rFonts w:ascii="Times New Roman" w:eastAsia="MS Mincho" w:hAnsi="Times New Roman" w:cs="Times New Roman"/>
          <w:b/>
          <w:bCs/>
          <w:noProof/>
          <w:lang w:eastAsia="en-GB"/>
        </w:rPr>
        <w:drawing>
          <wp:inline distT="0" distB="0" distL="0" distR="0">
            <wp:extent cx="5236845" cy="29578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6845" cy="2957830"/>
                    </a:xfrm>
                    <a:prstGeom prst="rect">
                      <a:avLst/>
                    </a:prstGeom>
                    <a:noFill/>
                    <a:ln>
                      <a:noFill/>
                    </a:ln>
                  </pic:spPr>
                </pic:pic>
              </a:graphicData>
            </a:graphic>
          </wp:inline>
        </w:drawing>
      </w:r>
      <w:bookmarkEnd w:id="11"/>
    </w:p>
    <w:p w:rsidR="007E447C" w:rsidRDefault="004D5789">
      <w:pPr>
        <w:spacing w:after="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Eurostat and Commission services calculations.</w:t>
      </w:r>
    </w:p>
    <w:p w:rsidR="007E447C" w:rsidRDefault="004D5789">
      <w:pPr>
        <w:spacing w:after="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Note: Countries are presented in increasing order of the variation in the NIIP-to-GDP ratio between 2007 and 2017. The variation owed to the cycle is computed as the variation of the</w:t>
      </w:r>
      <w:r>
        <w:rPr>
          <w:rFonts w:ascii="Times New Roman" w:eastAsia="Times New Roman" w:hAnsi="Times New Roman" w:cs="Times New Roman"/>
          <w:noProof/>
          <w:sz w:val="20"/>
          <w:szCs w:val="20"/>
          <w:lang w:eastAsia="en-GB"/>
        </w:rPr>
        <w:t xml:space="preserve"> current account that is not accounted for by the variation of the cyclically-adjusted current account balance; see</w:t>
      </w:r>
      <w:r>
        <w:rPr>
          <w:noProof/>
          <w:sz w:val="20"/>
        </w:rPr>
        <w:t xml:space="preserve"> footnote </w:t>
      </w:r>
      <w:r>
        <w:rPr>
          <w:noProof/>
          <w:sz w:val="20"/>
        </w:rPr>
        <w:fldChar w:fldCharType="begin"/>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eastAsia="Times New Roman" w:hAnsi="Times New Roman" w:cs="Times New Roman"/>
          <w:noProof/>
          <w:sz w:val="20"/>
          <w:szCs w:val="20"/>
          <w:lang w:eastAsia="en-GB"/>
        </w:rPr>
        <w:t>.</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lastRenderedPageBreak/>
        <w:t xml:space="preserve">Net international </w:t>
      </w:r>
      <w:r>
        <w:rPr>
          <w:rFonts w:ascii="Times New Roman" w:eastAsia="Times New Roman" w:hAnsi="Times New Roman" w:cs="Times New Roman"/>
          <w:b/>
          <w:noProof/>
          <w:lang w:eastAsia="en-GB"/>
        </w:rPr>
        <w:t>investment positions (NIIPs) have continued improving in almost all Member States but deeply negative positions remain a concern in a number of them.</w:t>
      </w:r>
      <w:r>
        <w:rPr>
          <w:rFonts w:ascii="Times New Roman" w:eastAsia="Times New Roman" w:hAnsi="Times New Roman" w:cs="Times New Roman"/>
          <w:noProof/>
          <w:lang w:eastAsia="en-GB"/>
        </w:rPr>
        <w:t xml:space="preserve"> NIIP stocks are still largely in negative territory for many EU Member States (</w:t>
      </w:r>
      <w:r>
        <w:rPr>
          <w:rFonts w:ascii="Times New Roman" w:eastAsia="Times New Roman" w:hAnsi="Times New Roman" w:cs="Times New Roman"/>
          <w:noProof/>
          <w:lang w:eastAsia="en-GB"/>
        </w:rPr>
        <w:fldChar w:fldCharType="begin"/>
      </w:r>
      <w:r>
        <w:rPr>
          <w:rFonts w:ascii="Times New Roman" w:eastAsia="Times New Roman" w:hAnsi="Times New Roman" w:cs="Times New Roman"/>
          <w:noProof/>
          <w:lang w:eastAsia="en-GB"/>
        </w:rPr>
        <w:instrText xml:space="preserve"> REF _Ref525664344 \h  \* M</w:instrText>
      </w:r>
      <w:r>
        <w:rPr>
          <w:rFonts w:ascii="Times New Roman" w:eastAsia="Times New Roman" w:hAnsi="Times New Roman" w:cs="Times New Roman"/>
          <w:noProof/>
          <w:lang w:eastAsia="en-GB"/>
        </w:rPr>
        <w:instrText xml:space="preserve">ERGEFORMAT </w:instrText>
      </w:r>
      <w:r>
        <w:rPr>
          <w:rFonts w:ascii="Times New Roman" w:eastAsia="Times New Roman" w:hAnsi="Times New Roman" w:cs="Times New Roman"/>
          <w:noProof/>
          <w:lang w:eastAsia="en-GB"/>
        </w:rPr>
      </w:r>
      <w:r>
        <w:rPr>
          <w:rFonts w:ascii="Times New Roman" w:eastAsia="Times New Roman" w:hAnsi="Times New Roman" w:cs="Times New Roman"/>
          <w:noProof/>
          <w:lang w:eastAsia="en-GB"/>
        </w:rPr>
        <w:fldChar w:fldCharType="separate"/>
      </w:r>
      <w:r>
        <w:rPr>
          <w:rFonts w:ascii="Times New Roman" w:eastAsia="Times New Roman" w:hAnsi="Times New Roman" w:cs="Times New Roman"/>
          <w:noProof/>
          <w:lang w:eastAsia="en-GB"/>
        </w:rPr>
        <w:t>Graph 4</w:t>
      </w:r>
      <w:r>
        <w:rPr>
          <w:rFonts w:ascii="Times New Roman" w:eastAsia="Times New Roman" w:hAnsi="Times New Roman" w:cs="Times New Roman"/>
          <w:noProof/>
          <w:lang w:eastAsia="en-GB"/>
        </w:rPr>
        <w:fldChar w:fldCharType="end"/>
      </w:r>
      <w:r>
        <w:rPr>
          <w:rFonts w:ascii="Times New Roman" w:eastAsia="Times New Roman" w:hAnsi="Times New Roman" w:cs="Times New Roman"/>
          <w:noProof/>
          <w:lang w:eastAsia="en-GB"/>
        </w:rPr>
        <w:t>). In a majority of EU countries displaying a negative NIIP, the stock of foreign liabilities exceeds the NIIP that could be justified on the basis of economic fundamentals, while only in a mi</w:t>
      </w:r>
      <w:r>
        <w:rPr>
          <w:rFonts w:ascii="Times New Roman" w:eastAsia="Times New Roman" w:hAnsi="Times New Roman" w:cs="Times New Roman"/>
          <w:noProof/>
          <w:lang w:eastAsia="en-GB"/>
        </w:rPr>
        <w:t>nority of cases it seems to be below prudential threshold.</w:t>
      </w:r>
      <w:bookmarkStart w:id="12" w:name="_Ref526336022"/>
      <w:r>
        <w:rPr>
          <w:rFonts w:ascii="Times New Roman" w:eastAsia="Times New Roman" w:hAnsi="Times New Roman" w:cs="Times New Roman"/>
          <w:noProof/>
          <w:vertAlign w:val="superscript"/>
        </w:rPr>
        <w:footnoteReference w:id="18"/>
      </w:r>
      <w:bookmarkEnd w:id="12"/>
      <w:r>
        <w:rPr>
          <w:rFonts w:ascii="Times New Roman" w:eastAsia="Times New Roman" w:hAnsi="Times New Roman" w:cs="Times New Roman"/>
          <w:noProof/>
          <w:lang w:eastAsia="en-GB"/>
        </w:rPr>
        <w:t xml:space="preserve"> In some countries, the stock of foreign liabilities is large also when computed net of less risky financial instruments (NENDI). Improvements in the NIIPs continued in 2017 thanks to current accou</w:t>
      </w:r>
      <w:r>
        <w:rPr>
          <w:rFonts w:ascii="Times New Roman" w:eastAsia="Times New Roman" w:hAnsi="Times New Roman" w:cs="Times New Roman"/>
          <w:noProof/>
          <w:lang w:eastAsia="en-GB"/>
        </w:rPr>
        <w:t>nt outcomes often in positive territory and to recovering nominal GDP growth (Graph 5). Improvements tended to be somewhat milder than in earlier years with valuation effects often contributing less to the NIIP improvement or even marginally detracting fro</w:t>
      </w:r>
      <w:r>
        <w:rPr>
          <w:rFonts w:ascii="Times New Roman" w:eastAsia="Times New Roman" w:hAnsi="Times New Roman" w:cs="Times New Roman"/>
          <w:noProof/>
          <w:lang w:eastAsia="en-GB"/>
        </w:rPr>
        <w:t>m the NIIP. The sign and strength of NIIP variations had no strong link with starting NIIP levels, but net-debtor countries improved or stabilised their readings in 2017 in a majority of cases.</w:t>
      </w:r>
    </w:p>
    <w:p w:rsidR="007E447C" w:rsidRDefault="004D5789">
      <w:pPr>
        <w:numPr>
          <w:ilvl w:val="0"/>
          <w:numId w:val="9"/>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2017, </w:t>
      </w:r>
      <w:r>
        <w:rPr>
          <w:rFonts w:ascii="Times New Roman" w:eastAsia="Times New Roman" w:hAnsi="Times New Roman" w:cs="Times New Roman"/>
          <w:b/>
          <w:noProof/>
          <w:lang w:eastAsia="en-GB"/>
        </w:rPr>
        <w:t>almost half of the Member States recorded NIIPs worse</w:t>
      </w:r>
      <w:r>
        <w:rPr>
          <w:rFonts w:ascii="Times New Roman" w:eastAsia="Times New Roman" w:hAnsi="Times New Roman" w:cs="Times New Roman"/>
          <w:b/>
          <w:noProof/>
          <w:lang w:eastAsia="en-GB"/>
        </w:rPr>
        <w:t xml:space="preserve"> than the scoreboard threshold</w:t>
      </w:r>
      <w:r>
        <w:rPr>
          <w:rFonts w:ascii="Times New Roman" w:eastAsia="Times New Roman" w:hAnsi="Times New Roman" w:cs="Times New Roman"/>
          <w:noProof/>
          <w:lang w:eastAsia="en-GB"/>
        </w:rPr>
        <w:t xml:space="preserve"> of -35% of GDP. Some continued exceeding -100% of GDP (Cyprus, Greece, Ireland and Portugal) and Spain -80% of GDP; also Bulgaria, Croatia, Hungary, Latvia, Lithuania, Poland, Romania and Slovakia were still behind the -35% o</w:t>
      </w:r>
      <w:r>
        <w:rPr>
          <w:rFonts w:ascii="Times New Roman" w:eastAsia="Times New Roman" w:hAnsi="Times New Roman" w:cs="Times New Roman"/>
          <w:noProof/>
          <w:lang w:eastAsia="en-GB"/>
        </w:rPr>
        <w:t xml:space="preserve">f GDP mark. </w:t>
      </w:r>
    </w:p>
    <w:p w:rsidR="007E447C" w:rsidRDefault="004D5789">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eastAsia="Times New Roman" w:hAnsi="Times New Roman" w:cs="Times New Roman"/>
          <w:noProof/>
        </w:rPr>
        <w:t xml:space="preserve">In countries with </w:t>
      </w:r>
      <w:r>
        <w:rPr>
          <w:rFonts w:ascii="Times New Roman" w:eastAsia="Times New Roman" w:hAnsi="Times New Roman" w:cs="Times New Roman"/>
          <w:b/>
          <w:noProof/>
        </w:rPr>
        <w:t>largely negative NIIPs</w:t>
      </w:r>
      <w:r>
        <w:rPr>
          <w:rFonts w:ascii="Times New Roman" w:eastAsia="Times New Roman" w:hAnsi="Times New Roman" w:cs="Times New Roman"/>
          <w:noProof/>
        </w:rPr>
        <w:t xml:space="preserve">, the readings are generally </w:t>
      </w:r>
      <w:r>
        <w:rPr>
          <w:rFonts w:ascii="Times New Roman" w:eastAsia="Times New Roman" w:hAnsi="Times New Roman" w:cs="Times New Roman"/>
          <w:b/>
          <w:noProof/>
        </w:rPr>
        <w:t>below country-specific benchmarks,</w:t>
      </w:r>
      <w:r>
        <w:rPr>
          <w:rFonts w:ascii="Times New Roman" w:eastAsia="Times New Roman" w:hAnsi="Times New Roman" w:cs="Times New Roman"/>
          <w:noProof/>
        </w:rPr>
        <w:t xml:space="preserve"> both NIIP norms and NIIP prudential thresholds. This is the case in Ireland, Greece, Cyprus, Portugal, and also Spain. Greece recorded a ma</w:t>
      </w:r>
      <w:r>
        <w:rPr>
          <w:rFonts w:ascii="Times New Roman" w:eastAsia="Times New Roman" w:hAnsi="Times New Roman" w:cs="Times New Roman"/>
          <w:noProof/>
        </w:rPr>
        <w:t xml:space="preserve">rginal worsening of the NIIP and Portugal posted unchanged readings, in both cases with valuation effects dampened somewhat the NIIP in 2017; all of the others improved their outcomes. These most negative NIIPs are marked by a </w:t>
      </w:r>
      <w:r>
        <w:rPr>
          <w:rFonts w:ascii="Times New Roman" w:eastAsia="Times New Roman" w:hAnsi="Times New Roman" w:cs="Times New Roman"/>
          <w:b/>
          <w:noProof/>
        </w:rPr>
        <w:t xml:space="preserve">strong incidence of net debt </w:t>
      </w:r>
      <w:r>
        <w:rPr>
          <w:rFonts w:ascii="Times New Roman" w:eastAsia="Times New Roman" w:hAnsi="Times New Roman" w:cs="Times New Roman"/>
          <w:b/>
          <w:noProof/>
        </w:rPr>
        <w:t>liabilities</w:t>
      </w:r>
      <w:r>
        <w:rPr>
          <w:rFonts w:ascii="Times New Roman" w:eastAsia="Times New Roman" w:hAnsi="Times New Roman" w:cs="Times New Roman"/>
          <w:noProof/>
        </w:rPr>
        <w:t>.</w:t>
      </w:r>
      <w:r>
        <w:rPr>
          <w:rStyle w:val="FootnoteReference"/>
          <w:rFonts w:ascii="Times New Roman" w:eastAsia="Times New Roman" w:hAnsi="Times New Roman" w:cs="Times New Roman"/>
          <w:noProof/>
        </w:rPr>
        <w:footnoteReference w:id="19"/>
      </w:r>
      <w:r>
        <w:rPr>
          <w:rFonts w:ascii="Times New Roman" w:eastAsia="Times New Roman" w:hAnsi="Times New Roman" w:cs="Times New Roman"/>
          <w:noProof/>
        </w:rPr>
        <w:t xml:space="preserve"> The figures for Cyprus and Ireland have to be seen also in the light of the relevance for them of </w:t>
      </w:r>
      <w:r>
        <w:rPr>
          <w:rFonts w:ascii="Times New Roman" w:eastAsia="Times New Roman" w:hAnsi="Times New Roman" w:cs="Times New Roman"/>
          <w:noProof/>
          <w:lang w:eastAsia="en-GB"/>
        </w:rPr>
        <w:t xml:space="preserve">activities of multinational corporations and </w:t>
      </w:r>
      <w:r>
        <w:rPr>
          <w:rFonts w:ascii="Times New Roman" w:hAnsi="Times New Roman" w:cs="Times New Roman"/>
          <w:noProof/>
        </w:rPr>
        <w:t>of internationally-oriented service sectors; and in Greece in light of the large external public de</w:t>
      </w:r>
      <w:r>
        <w:rPr>
          <w:rFonts w:ascii="Times New Roman" w:hAnsi="Times New Roman" w:cs="Times New Roman"/>
          <w:noProof/>
        </w:rPr>
        <w:t xml:space="preserve">bt at highly concessional rates. </w:t>
      </w:r>
    </w:p>
    <w:p w:rsidR="007E447C" w:rsidRDefault="004D5789">
      <w:pPr>
        <w:numPr>
          <w:ilvl w:val="0"/>
          <w:numId w:val="9"/>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countries with </w:t>
      </w:r>
      <w:r>
        <w:rPr>
          <w:rFonts w:ascii="Times New Roman" w:eastAsia="Times New Roman" w:hAnsi="Times New Roman" w:cs="Times New Roman"/>
          <w:b/>
          <w:noProof/>
          <w:lang w:eastAsia="en-GB"/>
        </w:rPr>
        <w:t>intermediate negative NIIPs</w:t>
      </w:r>
      <w:r>
        <w:rPr>
          <w:rFonts w:ascii="Times New Roman" w:eastAsia="Times New Roman" w:hAnsi="Times New Roman" w:cs="Times New Roman"/>
          <w:noProof/>
          <w:lang w:eastAsia="en-GB"/>
        </w:rPr>
        <w:t xml:space="preserve">, but still below the </w:t>
      </w:r>
      <w:r>
        <w:rPr>
          <w:rFonts w:ascii="Times New Roman" w:eastAsia="Calibri" w:hAnsi="Times New Roman" w:cs="Times New Roman"/>
          <w:noProof/>
          <w:color w:val="000000"/>
          <w:lang w:eastAsia="en-GB"/>
        </w:rPr>
        <w:t xml:space="preserve">-35% of GDP scoreboard threshold, </w:t>
      </w:r>
      <w:r>
        <w:rPr>
          <w:rFonts w:ascii="Times New Roman" w:eastAsia="Times New Roman" w:hAnsi="Times New Roman" w:cs="Times New Roman"/>
          <w:noProof/>
          <w:lang w:eastAsia="en-GB"/>
        </w:rPr>
        <w:t xml:space="preserve">NIIP often appear below norm and in some cases slightly below prudential thresholds. In those countries, </w:t>
      </w:r>
      <w:r>
        <w:rPr>
          <w:rFonts w:ascii="Times New Roman" w:eastAsia="Calibri" w:hAnsi="Times New Roman" w:cs="Times New Roman"/>
          <w:noProof/>
          <w:color w:val="000000"/>
          <w:lang w:eastAsia="en-GB"/>
        </w:rPr>
        <w:t>equity has a lar</w:t>
      </w:r>
      <w:r>
        <w:rPr>
          <w:rFonts w:ascii="Times New Roman" w:eastAsia="Calibri" w:hAnsi="Times New Roman" w:cs="Times New Roman"/>
          <w:noProof/>
          <w:color w:val="000000"/>
          <w:lang w:eastAsia="en-GB"/>
        </w:rPr>
        <w:t xml:space="preserve">ge incidence on the negative NIIP, including in light of inward net FDI stocks. </w:t>
      </w:r>
      <w:r>
        <w:rPr>
          <w:rFonts w:ascii="Times New Roman" w:eastAsia="Times New Roman" w:hAnsi="Times New Roman" w:cs="Times New Roman"/>
          <w:noProof/>
          <w:lang w:eastAsia="en-GB"/>
        </w:rPr>
        <w:t xml:space="preserve">In countries with </w:t>
      </w:r>
      <w:r>
        <w:rPr>
          <w:rFonts w:ascii="Times New Roman" w:eastAsia="Times New Roman" w:hAnsi="Times New Roman" w:cs="Times New Roman"/>
          <w:b/>
          <w:noProof/>
          <w:lang w:eastAsia="en-GB"/>
        </w:rPr>
        <w:t>moderate external stock positions</w:t>
      </w:r>
      <w:r>
        <w:rPr>
          <w:rFonts w:ascii="Times New Roman" w:eastAsia="Times New Roman" w:hAnsi="Times New Roman" w:cs="Times New Roman"/>
          <w:noProof/>
          <w:lang w:eastAsia="en-GB"/>
        </w:rPr>
        <w:t>, NIIPs are often above the respective norms, except for the cases of France and Slovenia, where they are below.</w:t>
      </w:r>
    </w:p>
    <w:p w:rsidR="007E447C" w:rsidRDefault="004D5789">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eastAsia="Times New Roman" w:hAnsi="Times New Roman" w:cs="Times New Roman"/>
          <w:noProof/>
        </w:rPr>
        <w:t xml:space="preserve">In most of the countries with </w:t>
      </w:r>
      <w:r>
        <w:rPr>
          <w:rFonts w:ascii="Times New Roman" w:eastAsia="Times New Roman" w:hAnsi="Times New Roman" w:cs="Times New Roman"/>
          <w:b/>
          <w:noProof/>
        </w:rPr>
        <w:t xml:space="preserve">large and positive NIIP stocks, </w:t>
      </w:r>
      <w:r>
        <w:rPr>
          <w:rFonts w:ascii="Times New Roman" w:eastAsia="Times New Roman" w:hAnsi="Times New Roman" w:cs="Times New Roman"/>
          <w:noProof/>
        </w:rPr>
        <w:t>NIIPs are above norm and have been increasing</w:t>
      </w:r>
      <w:r>
        <w:rPr>
          <w:rFonts w:ascii="Times New Roman" w:eastAsia="Times New Roman" w:hAnsi="Times New Roman" w:cs="Times New Roman"/>
          <w:b/>
          <w:noProof/>
        </w:rPr>
        <w:t xml:space="preserve"> </w:t>
      </w:r>
      <w:r>
        <w:rPr>
          <w:rFonts w:ascii="Times New Roman" w:eastAsia="Times New Roman" w:hAnsi="Times New Roman" w:cs="Times New Roman"/>
          <w:noProof/>
        </w:rPr>
        <w:t>in 2017, on the back of large current account surpluses. The Netherlands and Denmark recorded marginal falls in their NIIP on account of negative va</w:t>
      </w:r>
      <w:r>
        <w:rPr>
          <w:rFonts w:ascii="Times New Roman" w:eastAsia="Times New Roman" w:hAnsi="Times New Roman" w:cs="Times New Roman"/>
          <w:noProof/>
        </w:rPr>
        <w:t xml:space="preserve">luations effects. Malta </w:t>
      </w:r>
      <w:r>
        <w:rPr>
          <w:rFonts w:ascii="Times New Roman" w:eastAsia="Times New Roman" w:hAnsi="Times New Roman" w:cs="Times New Roman"/>
          <w:noProof/>
        </w:rPr>
        <w:lastRenderedPageBreak/>
        <w:t>and the Netherlands ended 2017 with NIIPs at around 60% of GDP, Belgium, Denmark and Germany above 50%.</w:t>
      </w:r>
      <w:r>
        <w:rPr>
          <w:rStyle w:val="FootnoteReference"/>
          <w:rFonts w:ascii="Times New Roman" w:eastAsia="Times New Roman" w:hAnsi="Times New Roman" w:cs="Times New Roman"/>
          <w:noProof/>
        </w:rPr>
        <w:footnoteReference w:id="20"/>
      </w:r>
      <w:r>
        <w:rPr>
          <w:rFonts w:ascii="Times New Roman" w:eastAsia="Times New Roman" w:hAnsi="Times New Roman" w:cs="Times New Roman"/>
          <w:noProof/>
        </w:rPr>
        <w:t xml:space="preserve"> </w:t>
      </w:r>
    </w:p>
    <w:p w:rsidR="007E447C" w:rsidRDefault="004D5789">
      <w:pPr>
        <w:keepNext/>
        <w:spacing w:before="120" w:after="120"/>
        <w:jc w:val="center"/>
        <w:rPr>
          <w:rFonts w:ascii="Times New Roman" w:eastAsia="MS Mincho" w:hAnsi="Times New Roman" w:cs="Times New Roman"/>
          <w:b/>
          <w:bCs/>
          <w:noProof/>
          <w:lang w:eastAsia="ja-JP"/>
        </w:rPr>
      </w:pPr>
      <w:bookmarkStart w:id="13" w:name="_Ref525664344"/>
      <w:r>
        <w:rPr>
          <w:rFonts w:ascii="Times New Roman" w:eastAsia="MS Mincho" w:hAnsi="Times New Roman" w:cs="Times New Roman"/>
          <w:b/>
          <w:bCs/>
          <w:noProof/>
          <w:lang w:eastAsia="ja-JP"/>
        </w:rPr>
        <w:t xml:space="preserve">Graph </w:t>
      </w:r>
      <w:r>
        <w:rPr>
          <w:rFonts w:ascii="Times New Roman" w:eastAsia="MS Mincho" w:hAnsi="Times New Roman" w:cs="Times New Roman"/>
          <w:b/>
          <w:bCs/>
          <w:noProof/>
          <w:lang w:eastAsia="ja-JP"/>
        </w:rPr>
        <w:fldChar w:fldCharType="begin"/>
      </w:r>
      <w:r>
        <w:rPr>
          <w:rFonts w:ascii="Times New Roman" w:eastAsia="MS Mincho" w:hAnsi="Times New Roman" w:cs="Times New Roman"/>
          <w:b/>
          <w:bCs/>
          <w:noProof/>
          <w:lang w:eastAsia="ja-JP"/>
        </w:rPr>
        <w:instrText xml:space="preserve"> SEQ Graph \* ARABIC </w:instrText>
      </w:r>
      <w:r>
        <w:rPr>
          <w:rFonts w:ascii="Times New Roman" w:eastAsia="MS Mincho" w:hAnsi="Times New Roman" w:cs="Times New Roman"/>
          <w:b/>
          <w:bCs/>
          <w:noProof/>
          <w:lang w:eastAsia="ja-JP"/>
        </w:rPr>
        <w:fldChar w:fldCharType="separate"/>
      </w:r>
      <w:r>
        <w:rPr>
          <w:rFonts w:ascii="Times New Roman" w:eastAsia="MS Mincho" w:hAnsi="Times New Roman" w:cs="Times New Roman"/>
          <w:b/>
          <w:bCs/>
          <w:noProof/>
          <w:lang w:eastAsia="ja-JP"/>
        </w:rPr>
        <w:t>4</w:t>
      </w:r>
      <w:r>
        <w:rPr>
          <w:rFonts w:ascii="Times New Roman" w:eastAsia="MS Mincho" w:hAnsi="Times New Roman" w:cs="Times New Roman"/>
          <w:b/>
          <w:bCs/>
          <w:noProof/>
          <w:lang w:eastAsia="ja-JP"/>
        </w:rPr>
        <w:fldChar w:fldCharType="end"/>
      </w:r>
      <w:bookmarkEnd w:id="13"/>
      <w:r>
        <w:rPr>
          <w:rFonts w:ascii="Times New Roman" w:eastAsia="MS Mincho" w:hAnsi="Times New Roman" w:cs="Times New Roman"/>
          <w:b/>
          <w:bCs/>
          <w:noProof/>
          <w:lang w:eastAsia="ja-JP"/>
        </w:rPr>
        <w:t>: Net international investment positions (NIIPs) and benchmarks in 2017</w:t>
      </w:r>
    </w:p>
    <w:p w:rsidR="007E447C" w:rsidRDefault="004D5789">
      <w:pPr>
        <w:keepNext/>
        <w:spacing w:before="120" w:after="120"/>
        <w:jc w:val="center"/>
        <w:rPr>
          <w:rFonts w:ascii="Times New Roman" w:eastAsia="MS Mincho" w:hAnsi="Times New Roman" w:cs="Times New Roman"/>
          <w:b/>
          <w:bCs/>
          <w:noProof/>
          <w:sz w:val="24"/>
          <w:szCs w:val="20"/>
          <w:lang w:eastAsia="ja-JP"/>
        </w:rPr>
      </w:pPr>
      <w:bookmarkStart w:id="14" w:name="niip"/>
      <w:r>
        <w:rPr>
          <w:rFonts w:ascii="Times New Roman" w:eastAsia="MS Mincho" w:hAnsi="Times New Roman" w:cs="Times New Roman"/>
          <w:b/>
          <w:bCs/>
          <w:noProof/>
          <w:sz w:val="24"/>
          <w:szCs w:val="20"/>
          <w:lang w:eastAsia="en-GB"/>
        </w:rPr>
        <w:drawing>
          <wp:inline distT="0" distB="0" distL="0" distR="0">
            <wp:extent cx="5222875" cy="28746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2875" cy="2874645"/>
                    </a:xfrm>
                    <a:prstGeom prst="rect">
                      <a:avLst/>
                    </a:prstGeom>
                    <a:noFill/>
                    <a:ln>
                      <a:noFill/>
                    </a:ln>
                  </pic:spPr>
                </pic:pic>
              </a:graphicData>
            </a:graphic>
          </wp:inline>
        </w:drawing>
      </w:r>
      <w:bookmarkEnd w:id="14"/>
    </w:p>
    <w:p w:rsidR="007E447C" w:rsidRDefault="004D5789">
      <w:pPr>
        <w:spacing w:after="0"/>
        <w:jc w:val="both"/>
        <w:rPr>
          <w:rFonts w:ascii="Times New Roman" w:eastAsia="Times New Roman" w:hAnsi="Times New Roman" w:cs="Times New Roman"/>
          <w:noProof/>
          <w:sz w:val="20"/>
          <w:szCs w:val="20"/>
          <w:lang w:val="fr-FR" w:eastAsia="en-GB"/>
        </w:rPr>
      </w:pPr>
      <w:r>
        <w:rPr>
          <w:rFonts w:ascii="Times New Roman" w:eastAsia="Times New Roman" w:hAnsi="Times New Roman" w:cs="Times New Roman"/>
          <w:i/>
          <w:noProof/>
          <w:sz w:val="20"/>
          <w:szCs w:val="20"/>
          <w:lang w:val="fr-FR" w:eastAsia="en-GB"/>
        </w:rPr>
        <w:t>Source:</w:t>
      </w:r>
      <w:r>
        <w:rPr>
          <w:rFonts w:ascii="Times New Roman" w:eastAsia="Times New Roman" w:hAnsi="Times New Roman" w:cs="Times New Roman"/>
          <w:noProof/>
          <w:sz w:val="20"/>
          <w:szCs w:val="20"/>
          <w:lang w:val="fr-FR" w:eastAsia="en-GB"/>
        </w:rPr>
        <w:t xml:space="preserve"> Eurostat (BPM6, ESA10), Commission services calculations. </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Countries are presented in decreasing order of the NIIP-to-GDP ratio in 2017. NENDI is the NIIP excluding non-defaultable instruments, see Box 1 for more information. For the concepts of NII</w:t>
      </w:r>
      <w:r>
        <w:rPr>
          <w:rFonts w:ascii="Times New Roman" w:eastAsia="Times New Roman" w:hAnsi="Times New Roman" w:cs="Times New Roman"/>
          <w:noProof/>
          <w:sz w:val="20"/>
          <w:szCs w:val="20"/>
          <w:lang w:eastAsia="en-GB"/>
        </w:rPr>
        <w:t xml:space="preserve">P norm and NIIP prudential threshold, see footnote </w:t>
      </w:r>
      <w:r>
        <w:rPr>
          <w:rFonts w:ascii="Times New Roman" w:eastAsia="Times New Roman" w:hAnsi="Times New Roman" w:cs="Times New Roman"/>
          <w:noProof/>
          <w:sz w:val="20"/>
          <w:szCs w:val="20"/>
          <w:lang w:eastAsia="en-GB"/>
        </w:rPr>
        <w:fldChar w:fldCharType="begin"/>
      </w:r>
      <w:r>
        <w:rPr>
          <w:rFonts w:ascii="Times New Roman" w:eastAsia="Times New Roman" w:hAnsi="Times New Roman" w:cs="Times New Roman"/>
          <w:noProof/>
          <w:sz w:val="20"/>
          <w:szCs w:val="20"/>
          <w:lang w:eastAsia="en-GB"/>
        </w:rPr>
        <w:instrText xml:space="preserve"> NOTEREF _Ref526336022 \h  \* MERGEFORMAT </w:instrText>
      </w:r>
      <w:r>
        <w:rPr>
          <w:rFonts w:ascii="Times New Roman" w:eastAsia="Times New Roman" w:hAnsi="Times New Roman" w:cs="Times New Roman"/>
          <w:noProof/>
          <w:sz w:val="20"/>
          <w:szCs w:val="20"/>
          <w:lang w:eastAsia="en-GB"/>
        </w:rPr>
      </w:r>
      <w:r>
        <w:rPr>
          <w:rFonts w:ascii="Times New Roman" w:eastAsia="Times New Roman" w:hAnsi="Times New Roman" w:cs="Times New Roman"/>
          <w:noProof/>
          <w:sz w:val="20"/>
          <w:szCs w:val="20"/>
          <w:lang w:eastAsia="en-GB"/>
        </w:rPr>
        <w:fldChar w:fldCharType="separate"/>
      </w:r>
      <w:r>
        <w:rPr>
          <w:rFonts w:ascii="Times New Roman" w:eastAsia="Times New Roman" w:hAnsi="Times New Roman" w:cs="Times New Roman"/>
          <w:noProof/>
          <w:sz w:val="20"/>
          <w:szCs w:val="20"/>
          <w:lang w:eastAsia="en-GB"/>
        </w:rPr>
        <w:t>18</w:t>
      </w:r>
      <w:r>
        <w:rPr>
          <w:rFonts w:ascii="Times New Roman" w:eastAsia="Times New Roman" w:hAnsi="Times New Roman" w:cs="Times New Roman"/>
          <w:noProof/>
          <w:sz w:val="20"/>
          <w:szCs w:val="20"/>
          <w:lang w:eastAsia="en-GB"/>
        </w:rPr>
        <w:fldChar w:fldCharType="end"/>
      </w:r>
      <w:r>
        <w:rPr>
          <w:rFonts w:ascii="Times New Roman" w:eastAsia="Times New Roman" w:hAnsi="Times New Roman" w:cs="Times New Roman"/>
          <w:noProof/>
          <w:sz w:val="20"/>
          <w:szCs w:val="20"/>
          <w:lang w:eastAsia="en-GB"/>
        </w:rPr>
        <w:t xml:space="preserve">. </w:t>
      </w:r>
    </w:p>
    <w:p w:rsidR="007E447C" w:rsidRDefault="007E447C">
      <w:pPr>
        <w:keepNext/>
        <w:spacing w:after="0"/>
        <w:jc w:val="center"/>
        <w:rPr>
          <w:rFonts w:ascii="Times New Roman" w:eastAsia="MS Mincho" w:hAnsi="Times New Roman" w:cs="Times New Roman"/>
          <w:b/>
          <w:bCs/>
          <w:noProof/>
          <w:lang w:eastAsia="ja-JP"/>
        </w:rPr>
      </w:pPr>
      <w:bookmarkStart w:id="15" w:name="_Ref525664349"/>
    </w:p>
    <w:p w:rsidR="007E447C" w:rsidRDefault="004D5789">
      <w:pPr>
        <w:keepNext/>
        <w:spacing w:before="120" w:after="120"/>
        <w:jc w:val="center"/>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t xml:space="preserve">Graph </w:t>
      </w:r>
      <w:r>
        <w:rPr>
          <w:rFonts w:ascii="Times New Roman" w:eastAsia="MS Mincho" w:hAnsi="Times New Roman" w:cs="Times New Roman"/>
          <w:b/>
          <w:bCs/>
          <w:noProof/>
          <w:lang w:eastAsia="ja-JP"/>
        </w:rPr>
        <w:fldChar w:fldCharType="begin"/>
      </w:r>
      <w:r>
        <w:rPr>
          <w:rFonts w:ascii="Times New Roman" w:eastAsia="MS Mincho" w:hAnsi="Times New Roman" w:cs="Times New Roman"/>
          <w:b/>
          <w:bCs/>
          <w:noProof/>
          <w:lang w:eastAsia="ja-JP"/>
        </w:rPr>
        <w:instrText xml:space="preserve"> SEQ Graph \* ARABIC </w:instrText>
      </w:r>
      <w:r>
        <w:rPr>
          <w:rFonts w:ascii="Times New Roman" w:eastAsia="MS Mincho" w:hAnsi="Times New Roman" w:cs="Times New Roman"/>
          <w:b/>
          <w:bCs/>
          <w:noProof/>
          <w:lang w:eastAsia="ja-JP"/>
        </w:rPr>
        <w:fldChar w:fldCharType="separate"/>
      </w:r>
      <w:r>
        <w:rPr>
          <w:rFonts w:ascii="Times New Roman" w:eastAsia="MS Mincho" w:hAnsi="Times New Roman" w:cs="Times New Roman"/>
          <w:b/>
          <w:bCs/>
          <w:noProof/>
          <w:lang w:eastAsia="ja-JP"/>
        </w:rPr>
        <w:t>5</w:t>
      </w:r>
      <w:r>
        <w:rPr>
          <w:rFonts w:ascii="Times New Roman" w:eastAsia="MS Mincho" w:hAnsi="Times New Roman" w:cs="Times New Roman"/>
          <w:b/>
          <w:bCs/>
          <w:noProof/>
          <w:lang w:eastAsia="ja-JP"/>
        </w:rPr>
        <w:fldChar w:fldCharType="end"/>
      </w:r>
      <w:bookmarkEnd w:id="15"/>
      <w:r>
        <w:rPr>
          <w:rFonts w:ascii="Times New Roman" w:eastAsia="MS Mincho" w:hAnsi="Times New Roman" w:cs="Times New Roman"/>
          <w:b/>
          <w:bCs/>
          <w:noProof/>
          <w:lang w:eastAsia="ja-JP"/>
        </w:rPr>
        <w:t xml:space="preserve">: Dynamics of the net international investment positions </w:t>
      </w:r>
      <w:r>
        <w:rPr>
          <w:rFonts w:ascii="Times New Roman" w:eastAsia="MS Mincho" w:hAnsi="Times New Roman" w:cs="Times New Roman"/>
          <w:b/>
          <w:bCs/>
          <w:noProof/>
          <w:lang w:eastAsia="ja-JP"/>
        </w:rPr>
        <w:t>(NIIPs)</w:t>
      </w:r>
    </w:p>
    <w:p w:rsidR="007E447C" w:rsidRDefault="004D5789">
      <w:pPr>
        <w:tabs>
          <w:tab w:val="left" w:pos="720"/>
        </w:tabs>
        <w:spacing w:before="120" w:after="120"/>
        <w:ind w:left="425"/>
        <w:jc w:val="both"/>
        <w:rPr>
          <w:rFonts w:ascii="Times New Roman" w:eastAsia="Times New Roman" w:hAnsi="Times New Roman" w:cs="Times New Roman"/>
          <w:noProof/>
          <w:sz w:val="24"/>
          <w:szCs w:val="20"/>
        </w:rPr>
      </w:pPr>
      <w:bookmarkStart w:id="16" w:name="niipchg"/>
      <w:r>
        <w:rPr>
          <w:rFonts w:ascii="Times New Roman" w:eastAsia="Times New Roman" w:hAnsi="Times New Roman" w:cs="Times New Roman"/>
          <w:noProof/>
          <w:sz w:val="24"/>
          <w:szCs w:val="20"/>
          <w:lang w:eastAsia="en-GB"/>
        </w:rPr>
        <w:drawing>
          <wp:inline distT="0" distB="0" distL="0" distR="0">
            <wp:extent cx="5202555" cy="28473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2555" cy="2847340"/>
                    </a:xfrm>
                    <a:prstGeom prst="rect">
                      <a:avLst/>
                    </a:prstGeom>
                    <a:noFill/>
                    <a:ln>
                      <a:noFill/>
                    </a:ln>
                  </pic:spPr>
                </pic:pic>
              </a:graphicData>
            </a:graphic>
          </wp:inline>
        </w:drawing>
      </w:r>
      <w:bookmarkEnd w:id="16"/>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 xml:space="preserve">Source: </w:t>
      </w:r>
      <w:r>
        <w:rPr>
          <w:rFonts w:ascii="Times New Roman" w:eastAsia="Times New Roman" w:hAnsi="Times New Roman" w:cs="Times New Roman"/>
          <w:noProof/>
          <w:sz w:val="20"/>
          <w:szCs w:val="20"/>
          <w:lang w:eastAsia="en-GB"/>
        </w:rPr>
        <w:t>Eurostat</w:t>
      </w:r>
    </w:p>
    <w:p w:rsidR="007E447C" w:rsidRDefault="004D5789">
      <w:pPr>
        <w:spacing w:after="0"/>
        <w:jc w:val="both"/>
        <w:rPr>
          <w:rFonts w:ascii="Times New Roman" w:eastAsia="Times New Roman" w:hAnsi="Times New Roman" w:cs="Times New Roman"/>
          <w:i/>
          <w:noProof/>
          <w:sz w:val="20"/>
          <w:szCs w:val="20"/>
          <w:lang w:eastAsia="en-GB"/>
        </w:rPr>
      </w:pPr>
      <w:r>
        <w:rPr>
          <w:rFonts w:ascii="Times New Roman" w:eastAsia="Times New Roman" w:hAnsi="Times New Roman" w:cs="Times New Roman"/>
          <w:noProof/>
          <w:sz w:val="20"/>
          <w:szCs w:val="20"/>
          <w:lang w:eastAsia="en-GB"/>
        </w:rPr>
        <w:t>Note: Countries are presented in decreasing order of variation of the NIIP-to-GDP ratio in 2017.</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lastRenderedPageBreak/>
        <w:t xml:space="preserve">Cost competitiveness developments have become less supportive of rebalancing. </w:t>
      </w:r>
      <w:r>
        <w:rPr>
          <w:rFonts w:ascii="Times New Roman" w:eastAsia="Times New Roman" w:hAnsi="Times New Roman" w:cs="Times New Roman"/>
          <w:noProof/>
          <w:lang w:eastAsia="en-GB"/>
        </w:rPr>
        <w:t>Post-crisis unit labour cost (ULC) patterns were characterised by relatively subdued dynamics in countries having witnessed demand compression after the unwinding of large current account deficits. ULC growth started resuming with the economic recovery, re</w:t>
      </w:r>
      <w:r>
        <w:rPr>
          <w:rFonts w:ascii="Times New Roman" w:eastAsia="Times New Roman" w:hAnsi="Times New Roman" w:cs="Times New Roman"/>
          <w:noProof/>
          <w:lang w:eastAsia="en-GB"/>
        </w:rPr>
        <w:t>maining however relatively subdued despite labour market tightening. Marked accelerations in ULCs were recorded in a number of countries in central and eastern Europe: since 2012 in Bulgaria and Estonia, 2013 in Latvia and Lithuania, 2016 in Czechia, Hunga</w:t>
      </w:r>
      <w:r>
        <w:rPr>
          <w:rFonts w:ascii="Times New Roman" w:eastAsia="Times New Roman" w:hAnsi="Times New Roman" w:cs="Times New Roman"/>
          <w:noProof/>
          <w:lang w:eastAsia="en-GB"/>
        </w:rPr>
        <w:t>ry and Romania. ULCs have further accelerated in 2017 in most Member States on the back of the consolidation of the economic expansion, without however a significant pick up in labour costs in large net-creditor countries. As a result, the tendency started</w:t>
      </w:r>
      <w:r>
        <w:rPr>
          <w:rFonts w:ascii="Times New Roman" w:eastAsia="Times New Roman" w:hAnsi="Times New Roman" w:cs="Times New Roman"/>
          <w:noProof/>
          <w:lang w:eastAsia="en-GB"/>
        </w:rPr>
        <w:t xml:space="preserve"> in 2016 towards a pattern of cost competitiveness developments that appear less supportive of rebalancing remains confirmed (see also Box 2). </w:t>
      </w:r>
    </w:p>
    <w:p w:rsidR="007E447C" w:rsidRDefault="004D5789">
      <w:pPr>
        <w:numPr>
          <w:ilvl w:val="0"/>
          <w:numId w:val="10"/>
        </w:numPr>
        <w:spacing w:before="120" w:after="120"/>
        <w:ind w:left="567" w:hanging="425"/>
        <w:jc w:val="both"/>
        <w:rPr>
          <w:rFonts w:ascii="Times New Roman" w:eastAsia="Calibri" w:hAnsi="Times New Roman" w:cs="Times New Roman"/>
          <w:noProof/>
        </w:rPr>
      </w:pPr>
      <w:r>
        <w:rPr>
          <w:rFonts w:ascii="Times New Roman" w:eastAsia="Calibri" w:hAnsi="Times New Roman" w:cs="Times New Roman"/>
          <w:b/>
          <w:noProof/>
        </w:rPr>
        <w:t>Unit labour costs have been accelerating in most Member States</w:t>
      </w:r>
      <w:r>
        <w:rPr>
          <w:rFonts w:ascii="Times New Roman" w:eastAsia="Calibri" w:hAnsi="Times New Roman" w:cs="Times New Roman"/>
          <w:noProof/>
        </w:rPr>
        <w:t xml:space="preserve">. ULC growth in recent years was particularly </w:t>
      </w:r>
      <w:r>
        <w:rPr>
          <w:rFonts w:ascii="Times New Roman" w:eastAsia="Calibri" w:hAnsi="Times New Roman" w:cs="Times New Roman"/>
          <w:noProof/>
        </w:rPr>
        <w:t>strong in Bulgaria, Estonia, Latvia, and Lithuania (</w:t>
      </w:r>
      <w:r>
        <w:rPr>
          <w:rFonts w:ascii="Times New Roman" w:eastAsia="MS Mincho" w:hAnsi="Times New Roman" w:cs="Times New Roman"/>
          <w:bCs/>
          <w:noProof/>
          <w:lang w:eastAsia="ja-JP"/>
        </w:rPr>
        <w:t xml:space="preserve">Graph </w:t>
      </w:r>
      <w:r>
        <w:rPr>
          <w:rFonts w:ascii="Times New Roman" w:eastAsia="MS Mincho" w:hAnsi="Times New Roman" w:cs="Times New Roman"/>
          <w:bCs/>
          <w:noProof/>
          <w:lang w:eastAsia="ja-JP"/>
        </w:rPr>
        <w:fldChar w:fldCharType="begin"/>
      </w:r>
      <w:r>
        <w:rPr>
          <w:rFonts w:ascii="Times New Roman" w:eastAsia="MS Mincho" w:hAnsi="Times New Roman" w:cs="Times New Roman"/>
          <w:bCs/>
          <w:noProof/>
          <w:lang w:eastAsia="ja-JP"/>
        </w:rPr>
        <w:instrText xml:space="preserve"> SEQ Graph \* ARABIC </w:instrText>
      </w:r>
      <w:r>
        <w:rPr>
          <w:rFonts w:ascii="Times New Roman" w:eastAsia="MS Mincho" w:hAnsi="Times New Roman" w:cs="Times New Roman"/>
          <w:bCs/>
          <w:noProof/>
          <w:lang w:eastAsia="ja-JP"/>
        </w:rPr>
        <w:fldChar w:fldCharType="separate"/>
      </w:r>
      <w:r>
        <w:rPr>
          <w:rFonts w:ascii="Times New Roman" w:eastAsia="MS Mincho" w:hAnsi="Times New Roman" w:cs="Times New Roman"/>
          <w:bCs/>
          <w:noProof/>
          <w:lang w:eastAsia="ja-JP"/>
        </w:rPr>
        <w:t>6</w:t>
      </w:r>
      <w:r>
        <w:rPr>
          <w:rFonts w:ascii="Times New Roman" w:eastAsia="MS Mincho" w:hAnsi="Times New Roman" w:cs="Times New Roman"/>
          <w:bCs/>
          <w:noProof/>
          <w:lang w:eastAsia="ja-JP"/>
        </w:rPr>
        <w:fldChar w:fldCharType="end"/>
      </w:r>
      <w:r>
        <w:rPr>
          <w:rFonts w:ascii="Times New Roman" w:eastAsia="MS Mincho" w:hAnsi="Times New Roman" w:cs="Times New Roman"/>
          <w:b/>
          <w:bCs/>
          <w:noProof/>
          <w:lang w:eastAsia="ja-JP"/>
        </w:rPr>
        <w:t>)</w:t>
      </w:r>
      <w:r>
        <w:rPr>
          <w:rFonts w:ascii="Times New Roman" w:eastAsia="Calibri" w:hAnsi="Times New Roman" w:cs="Times New Roman"/>
          <w:noProof/>
        </w:rPr>
        <w:t>; for all of them the scoreboard threshold is crossed. In 2017, ULC accelerations from earlier years stood out clearly in Bulgaria and Romania and, to a lesser extent, also</w:t>
      </w:r>
      <w:r>
        <w:rPr>
          <w:rFonts w:ascii="Times New Roman" w:eastAsia="Calibri" w:hAnsi="Times New Roman" w:cs="Times New Roman"/>
          <w:noProof/>
        </w:rPr>
        <w:t xml:space="preserve"> Czechia, Luxembourg and Slovakia. Estimates for 2018 point to scenarios of continued ULC dynamism in many of them, accelerating more markedly in Czechia, Hungary, Latvia, Lithuania, and Romania, and decelerating but remaining high in Bulgaria.</w:t>
      </w:r>
    </w:p>
    <w:p w:rsidR="007E447C" w:rsidRDefault="004D5789">
      <w:pPr>
        <w:numPr>
          <w:ilvl w:val="0"/>
          <w:numId w:val="10"/>
        </w:numPr>
        <w:spacing w:before="120" w:after="120"/>
        <w:ind w:left="567" w:hanging="425"/>
        <w:jc w:val="both"/>
        <w:rPr>
          <w:rFonts w:ascii="Times New Roman" w:eastAsia="Calibri" w:hAnsi="Times New Roman" w:cs="Times New Roman"/>
          <w:noProof/>
        </w:rPr>
      </w:pPr>
      <w:r>
        <w:rPr>
          <w:rFonts w:ascii="Times New Roman" w:eastAsia="Calibri" w:hAnsi="Times New Roman" w:cs="Times New Roman"/>
          <w:b/>
          <w:noProof/>
        </w:rPr>
        <w:t>The cross-c</w:t>
      </w:r>
      <w:r>
        <w:rPr>
          <w:rFonts w:ascii="Times New Roman" w:eastAsia="Calibri" w:hAnsi="Times New Roman" w:cs="Times New Roman"/>
          <w:b/>
          <w:noProof/>
        </w:rPr>
        <w:t>ountry pattern of unit labour cost growth broadly reflects differences in labour market tightness.</w:t>
      </w:r>
      <w:r>
        <w:rPr>
          <w:rFonts w:ascii="Times New Roman" w:eastAsia="Calibri" w:hAnsi="Times New Roman" w:cs="Times New Roman"/>
          <w:noProof/>
        </w:rPr>
        <w:t xml:space="preserve"> The countries where the ULC have been growing the fastest are generally those recording lower unemployment rates (Graph 8). Countries that recorded fast rate</w:t>
      </w:r>
      <w:r>
        <w:rPr>
          <w:rFonts w:ascii="Times New Roman" w:eastAsia="Calibri" w:hAnsi="Times New Roman" w:cs="Times New Roman"/>
          <w:noProof/>
        </w:rPr>
        <w:t xml:space="preserve">s of GDP growth in past years, notably the Baltics and a number of other countries in eastern Europe, display both low or moderate unemployment and high growth rates for ULC, while labour cost dynamics are generally more contained in countries with higher </w:t>
      </w:r>
      <w:r>
        <w:rPr>
          <w:rFonts w:ascii="Times New Roman" w:eastAsia="Calibri" w:hAnsi="Times New Roman" w:cs="Times New Roman"/>
          <w:noProof/>
        </w:rPr>
        <w:t>unemployment. Such relation is expected from the operation of Phillips curve dynamics but holds only loosely, as some countries exhibit ULC growth rates well in excess of what the relation would imply, notably the Baltics, Bulgaria, the Czechia, Hungary or</w:t>
      </w:r>
      <w:r>
        <w:rPr>
          <w:rFonts w:ascii="Times New Roman" w:eastAsia="Calibri" w:hAnsi="Times New Roman" w:cs="Times New Roman"/>
          <w:noProof/>
        </w:rPr>
        <w:t xml:space="preserve"> Romania. At the same time, others display lower ULC growth than expected (e.g., Croatia, Finland, and Ireland). In the former group, strong wage growth may also be associated with labour supply shortages linked to outward migration, skill shortages, skill</w:t>
      </w:r>
      <w:r>
        <w:rPr>
          <w:rFonts w:ascii="Times New Roman" w:eastAsia="Calibri" w:hAnsi="Times New Roman" w:cs="Times New Roman"/>
          <w:noProof/>
        </w:rPr>
        <w:t xml:space="preserve"> mismatch.</w:t>
      </w:r>
      <w:r>
        <w:rPr>
          <w:rStyle w:val="FootnoteReference"/>
          <w:rFonts w:ascii="Times New Roman" w:eastAsia="Calibri" w:hAnsi="Times New Roman" w:cs="Times New Roman"/>
          <w:noProof/>
        </w:rPr>
        <w:footnoteReference w:id="21"/>
      </w:r>
    </w:p>
    <w:p w:rsidR="007E447C" w:rsidRDefault="004D5789">
      <w:pPr>
        <w:numPr>
          <w:ilvl w:val="0"/>
          <w:numId w:val="10"/>
        </w:numPr>
        <w:spacing w:before="120" w:after="120"/>
        <w:ind w:left="567" w:hanging="425"/>
        <w:jc w:val="both"/>
        <w:rPr>
          <w:rFonts w:ascii="Times New Roman" w:eastAsia="Calibri" w:hAnsi="Times New Roman" w:cs="Times New Roman"/>
          <w:noProof/>
        </w:rPr>
      </w:pPr>
      <w:r>
        <w:rPr>
          <w:rFonts w:ascii="Times New Roman" w:eastAsia="Calibri" w:hAnsi="Times New Roman" w:cs="Times New Roman"/>
          <w:b/>
          <w:noProof/>
        </w:rPr>
        <w:t>Nominal wage growth provided the biggest contribution to the ULC growth observed in 2017</w:t>
      </w:r>
      <w:r>
        <w:rPr>
          <w:rFonts w:ascii="Times New Roman" w:eastAsia="Calibri" w:hAnsi="Times New Roman" w:cs="Times New Roman"/>
          <w:noProof/>
        </w:rPr>
        <w:t>. In most Member States, the largest contribution to ULC growth was provided by nominal wage growth, labour productivity playing a relatively milder role. L</w:t>
      </w:r>
      <w:r>
        <w:rPr>
          <w:rFonts w:ascii="Times New Roman" w:eastAsia="Calibri" w:hAnsi="Times New Roman" w:cs="Times New Roman"/>
          <w:noProof/>
        </w:rPr>
        <w:t xml:space="preserve">abour productivity generally contributed to slow down ULC growth, both on account of capital deepening and TFP growth, while reduced worked hours often implied reduced productivity (Graph 7). </w:t>
      </w:r>
    </w:p>
    <w:p w:rsidR="007E447C" w:rsidRDefault="004D5789">
      <w:pPr>
        <w:numPr>
          <w:ilvl w:val="0"/>
          <w:numId w:val="10"/>
        </w:numPr>
        <w:spacing w:before="120" w:after="120"/>
        <w:ind w:left="567" w:hanging="425"/>
        <w:jc w:val="both"/>
        <w:rPr>
          <w:rFonts w:ascii="Times New Roman" w:eastAsia="Calibri" w:hAnsi="Times New Roman" w:cs="Times New Roman"/>
          <w:noProof/>
        </w:rPr>
      </w:pPr>
      <w:r>
        <w:rPr>
          <w:rFonts w:ascii="Times New Roman" w:eastAsia="Calibri" w:hAnsi="Times New Roman" w:cs="Times New Roman"/>
          <w:b/>
          <w:noProof/>
        </w:rPr>
        <w:t>ULC growth patterns are increasingly delinked from external reb</w:t>
      </w:r>
      <w:r>
        <w:rPr>
          <w:rFonts w:ascii="Times New Roman" w:eastAsia="Calibri" w:hAnsi="Times New Roman" w:cs="Times New Roman"/>
          <w:b/>
          <w:noProof/>
        </w:rPr>
        <w:t xml:space="preserve">alancing needs. </w:t>
      </w:r>
      <w:r>
        <w:rPr>
          <w:rFonts w:ascii="Times New Roman" w:eastAsia="Calibri" w:hAnsi="Times New Roman" w:cs="Times New Roman"/>
          <w:noProof/>
        </w:rPr>
        <w:t>While in the crisis period unemployment tended to be higher in net-debtor countries that were subject to current account reversals and the ensuing demand compression, unemployment rates have been converging since the economic recovery start</w:t>
      </w:r>
      <w:r>
        <w:rPr>
          <w:rFonts w:ascii="Times New Roman" w:eastAsia="Calibri" w:hAnsi="Times New Roman" w:cs="Times New Roman"/>
          <w:noProof/>
        </w:rPr>
        <w:t>ed, implying that the patterns of ULC growth, which broadly reflects the different degree of labour market tightness, are increasingly de-linked from external rebalancing needs. In 2017, and somehow confirming the pattern already seen in 2016, some net-deb</w:t>
      </w:r>
      <w:r>
        <w:rPr>
          <w:rFonts w:ascii="Times New Roman" w:eastAsia="Calibri" w:hAnsi="Times New Roman" w:cs="Times New Roman"/>
          <w:noProof/>
        </w:rPr>
        <w:t xml:space="preserve">tor countries have seen ULC growing again after years of reduction or </w:t>
      </w:r>
      <w:r>
        <w:rPr>
          <w:rFonts w:ascii="Times New Roman" w:eastAsia="Calibri" w:hAnsi="Times New Roman" w:cs="Times New Roman"/>
          <w:noProof/>
        </w:rPr>
        <w:lastRenderedPageBreak/>
        <w:t>stagnation, with the accelerations being more noticeable in Cyprus, Greece and Portugal. At the same time, persistently tight labour markets in net-creditor countries have not translated</w:t>
      </w:r>
      <w:r>
        <w:rPr>
          <w:rFonts w:ascii="Times New Roman" w:eastAsia="Calibri" w:hAnsi="Times New Roman" w:cs="Times New Roman"/>
          <w:noProof/>
        </w:rPr>
        <w:t xml:space="preserve"> so far into significant wage accelerations. </w:t>
      </w:r>
    </w:p>
    <w:p w:rsidR="007E447C" w:rsidRDefault="007E447C">
      <w:pPr>
        <w:spacing w:before="120" w:after="120"/>
        <w:jc w:val="both"/>
        <w:rPr>
          <w:rFonts w:ascii="Times New Roman" w:eastAsia="Times New Roman" w:hAnsi="Times New Roman" w:cs="Times New Roman"/>
          <w:b/>
          <w:noProof/>
          <w:sz w:val="24"/>
          <w:szCs w:val="24"/>
          <w:lang w:eastAsia="en-GB"/>
        </w:rPr>
      </w:pPr>
    </w:p>
    <w:p w:rsidR="007E447C" w:rsidRDefault="004D5789">
      <w:pPr>
        <w:keepNext/>
        <w:spacing w:after="120"/>
        <w:jc w:val="center"/>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t>Graph 6: Unit labour cost growth in recent years</w:t>
      </w:r>
    </w:p>
    <w:p w:rsidR="007E447C" w:rsidRDefault="004D5789">
      <w:pPr>
        <w:spacing w:after="120"/>
        <w:jc w:val="center"/>
        <w:rPr>
          <w:rFonts w:ascii="Times New Roman" w:eastAsia="Times New Roman" w:hAnsi="Times New Roman" w:cs="Times New Roman"/>
          <w:b/>
          <w:noProof/>
          <w:sz w:val="24"/>
          <w:szCs w:val="24"/>
          <w:lang w:eastAsia="en-GB"/>
        </w:rPr>
      </w:pPr>
      <w:bookmarkStart w:id="17" w:name="ulc"/>
      <w:r>
        <w:rPr>
          <w:rFonts w:ascii="Times New Roman" w:eastAsia="Times New Roman" w:hAnsi="Times New Roman" w:cs="Times New Roman"/>
          <w:b/>
          <w:noProof/>
          <w:sz w:val="24"/>
          <w:szCs w:val="24"/>
          <w:lang w:eastAsia="en-GB"/>
        </w:rPr>
        <w:drawing>
          <wp:inline distT="0" distB="0" distL="0" distR="0">
            <wp:extent cx="5220000" cy="28728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000" cy="2872800"/>
                    </a:xfrm>
                    <a:prstGeom prst="rect">
                      <a:avLst/>
                    </a:prstGeom>
                    <a:noFill/>
                    <a:ln>
                      <a:noFill/>
                    </a:ln>
                  </pic:spPr>
                </pic:pic>
              </a:graphicData>
            </a:graphic>
          </wp:inline>
        </w:drawing>
      </w:r>
      <w:bookmarkEnd w:id="17"/>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AMECO; 2018 data come from the European Commission autumn 2018 economic forecast. </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xml:space="preserve"> Countries are presented in increasing order of unit labour cost growth in 2017.</w:t>
      </w:r>
    </w:p>
    <w:p w:rsidR="007E447C" w:rsidRDefault="007E447C">
      <w:pPr>
        <w:spacing w:after="0"/>
        <w:jc w:val="center"/>
        <w:rPr>
          <w:rFonts w:ascii="Times New Roman" w:eastAsia="Times New Roman" w:hAnsi="Times New Roman" w:cs="Times New Roman"/>
          <w:b/>
          <w:noProof/>
          <w:lang w:eastAsia="en-GB"/>
        </w:rPr>
      </w:pPr>
    </w:p>
    <w:p w:rsidR="007E447C" w:rsidRDefault="004D5789">
      <w:pPr>
        <w:keepNext/>
        <w:spacing w:after="120"/>
        <w:jc w:val="center"/>
        <w:rPr>
          <w:rFonts w:ascii="Times New Roman" w:eastAsia="MS Mincho" w:hAnsi="Times New Roman" w:cs="Times New Roman"/>
          <w:b/>
          <w:bCs/>
          <w:noProof/>
          <w:sz w:val="24"/>
          <w:szCs w:val="20"/>
          <w:lang w:eastAsia="ja-JP"/>
        </w:rPr>
      </w:pPr>
      <w:bookmarkStart w:id="18" w:name="_Ref525668367"/>
      <w:r>
        <w:rPr>
          <w:rFonts w:ascii="Times New Roman" w:eastAsia="MS Mincho" w:hAnsi="Times New Roman" w:cs="Times New Roman"/>
          <w:b/>
          <w:bCs/>
          <w:noProof/>
          <w:lang w:eastAsia="ja-JP"/>
        </w:rPr>
        <w:t xml:space="preserve">Graph </w:t>
      </w:r>
      <w:bookmarkEnd w:id="18"/>
      <w:r>
        <w:rPr>
          <w:rFonts w:ascii="Times New Roman" w:eastAsia="MS Mincho" w:hAnsi="Times New Roman" w:cs="Times New Roman"/>
          <w:b/>
          <w:bCs/>
          <w:noProof/>
          <w:lang w:eastAsia="ja-JP"/>
        </w:rPr>
        <w:t>7: Growth in unit labour cost and its drivers, 2017</w:t>
      </w:r>
    </w:p>
    <w:p w:rsidR="007E447C" w:rsidRDefault="004D5789">
      <w:pPr>
        <w:spacing w:after="120"/>
        <w:jc w:val="center"/>
        <w:rPr>
          <w:rFonts w:ascii="Times New Roman" w:eastAsia="Times New Roman" w:hAnsi="Times New Roman" w:cs="Times New Roman"/>
          <w:b/>
          <w:i/>
          <w:noProof/>
          <w:sz w:val="16"/>
          <w:szCs w:val="20"/>
          <w:lang w:eastAsia="en-GB"/>
        </w:rPr>
      </w:pPr>
      <w:bookmarkStart w:id="19" w:name="solow"/>
      <w:r>
        <w:rPr>
          <w:rFonts w:ascii="Times New Roman" w:eastAsia="Times New Roman" w:hAnsi="Times New Roman" w:cs="Times New Roman"/>
          <w:b/>
          <w:i/>
          <w:noProof/>
          <w:sz w:val="16"/>
          <w:szCs w:val="20"/>
          <w:lang w:eastAsia="en-GB"/>
        </w:rPr>
        <w:drawing>
          <wp:inline distT="0" distB="0" distL="0" distR="0">
            <wp:extent cx="5220000" cy="287306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000" cy="2873063"/>
                    </a:xfrm>
                    <a:prstGeom prst="rect">
                      <a:avLst/>
                    </a:prstGeom>
                    <a:noFill/>
                    <a:ln>
                      <a:noFill/>
                    </a:ln>
                  </pic:spPr>
                </pic:pic>
              </a:graphicData>
            </a:graphic>
          </wp:inline>
        </w:drawing>
      </w:r>
      <w:bookmarkEnd w:id="19"/>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AMECO and Commission services calculations</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xml:space="preserve"> Countries are presented in increasing order of unit labou</w:t>
      </w:r>
      <w:r>
        <w:rPr>
          <w:rFonts w:ascii="Times New Roman" w:eastAsia="Times New Roman" w:hAnsi="Times New Roman" w:cs="Times New Roman"/>
          <w:noProof/>
          <w:sz w:val="20"/>
          <w:szCs w:val="20"/>
          <w:lang w:eastAsia="en-GB"/>
        </w:rPr>
        <w:t>r cost growth in 2017. The decomposition is based on the standard breakdown of unit labour cost growth into nominal hourly compensation and labour productivity, the latter being further broken down into the contribution of hours worked, total factor produc</w:t>
      </w:r>
      <w:r>
        <w:rPr>
          <w:rFonts w:ascii="Times New Roman" w:eastAsia="Times New Roman" w:hAnsi="Times New Roman" w:cs="Times New Roman"/>
          <w:noProof/>
          <w:sz w:val="20"/>
          <w:szCs w:val="20"/>
          <w:lang w:eastAsia="en-GB"/>
        </w:rPr>
        <w:t xml:space="preserve">tivity and capital accumulation using a standard growth accounting framework. </w:t>
      </w:r>
    </w:p>
    <w:p w:rsidR="007E447C" w:rsidRDefault="007E447C">
      <w:pPr>
        <w:spacing w:before="120" w:after="120"/>
        <w:jc w:val="both"/>
        <w:rPr>
          <w:rFonts w:ascii="Times New Roman" w:eastAsia="Times New Roman" w:hAnsi="Times New Roman" w:cs="Times New Roman"/>
          <w:noProof/>
          <w:sz w:val="20"/>
          <w:szCs w:val="20"/>
          <w:lang w:eastAsia="en-GB"/>
        </w:rPr>
      </w:pPr>
    </w:p>
    <w:p w:rsidR="007E447C" w:rsidRDefault="004D5789">
      <w:pPr>
        <w:keepNext/>
        <w:spacing w:before="120" w:after="120"/>
        <w:jc w:val="center"/>
        <w:rPr>
          <w:rFonts w:ascii="Times New Roman" w:eastAsia="MS Mincho" w:hAnsi="Times New Roman" w:cs="Times New Roman"/>
          <w:b/>
          <w:bCs/>
          <w:noProof/>
          <w:lang w:eastAsia="ja-JP"/>
        </w:rPr>
      </w:pPr>
      <w:bookmarkStart w:id="20" w:name="_Ref525668380"/>
      <w:r>
        <w:rPr>
          <w:rFonts w:ascii="Times New Roman" w:eastAsia="MS Mincho" w:hAnsi="Times New Roman" w:cs="Times New Roman"/>
          <w:b/>
          <w:bCs/>
          <w:noProof/>
          <w:lang w:eastAsia="ja-JP"/>
        </w:rPr>
        <w:t xml:space="preserve">Graph </w:t>
      </w:r>
      <w:bookmarkEnd w:id="20"/>
      <w:r>
        <w:rPr>
          <w:rFonts w:ascii="Times New Roman" w:eastAsia="MS Mincho" w:hAnsi="Times New Roman" w:cs="Times New Roman"/>
          <w:b/>
          <w:bCs/>
          <w:noProof/>
          <w:lang w:eastAsia="ja-JP"/>
        </w:rPr>
        <w:t>8: Unit labour cost growth and unemployment rate</w:t>
      </w:r>
    </w:p>
    <w:p w:rsidR="007E447C" w:rsidRDefault="004D5789">
      <w:pPr>
        <w:spacing w:before="120" w:after="120"/>
        <w:jc w:val="center"/>
        <w:rPr>
          <w:rFonts w:ascii="Times New Roman" w:eastAsia="Times New Roman" w:hAnsi="Times New Roman" w:cs="Times New Roman"/>
          <w:b/>
          <w:noProof/>
          <w:sz w:val="24"/>
          <w:szCs w:val="24"/>
          <w:lang w:eastAsia="en-GB"/>
        </w:rPr>
      </w:pPr>
      <w:bookmarkStart w:id="21" w:name="unempl"/>
      <w:r>
        <w:rPr>
          <w:rFonts w:ascii="Times New Roman" w:eastAsia="Times New Roman" w:hAnsi="Times New Roman" w:cs="Times New Roman"/>
          <w:b/>
          <w:noProof/>
          <w:sz w:val="24"/>
          <w:szCs w:val="24"/>
          <w:lang w:eastAsia="en-GB"/>
        </w:rPr>
        <w:drawing>
          <wp:inline distT="0" distB="0" distL="0" distR="0">
            <wp:extent cx="3067685" cy="28759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685" cy="2875915"/>
                    </a:xfrm>
                    <a:prstGeom prst="rect">
                      <a:avLst/>
                    </a:prstGeom>
                    <a:noFill/>
                    <a:ln>
                      <a:noFill/>
                    </a:ln>
                  </pic:spPr>
                </pic:pic>
              </a:graphicData>
            </a:graphic>
          </wp:inline>
        </w:drawing>
      </w:r>
      <w:bookmarkEnd w:id="21"/>
    </w:p>
    <w:p w:rsidR="007E447C" w:rsidRDefault="004D5789">
      <w:pPr>
        <w:spacing w:before="120" w:after="120"/>
        <w:jc w:val="both"/>
        <w:rPr>
          <w:rFonts w:ascii="Times New Roman" w:eastAsia="Times New Roman" w:hAnsi="Times New Roman" w:cs="Times New Roman"/>
          <w:i/>
          <w:noProof/>
          <w:sz w:val="20"/>
          <w:szCs w:val="24"/>
          <w:lang w:eastAsia="en-GB"/>
        </w:rPr>
      </w:pPr>
      <w:r>
        <w:rPr>
          <w:rFonts w:ascii="Times New Roman" w:eastAsia="Times New Roman" w:hAnsi="Times New Roman" w:cs="Times New Roman"/>
          <w:i/>
          <w:noProof/>
          <w:sz w:val="20"/>
          <w:szCs w:val="24"/>
          <w:lang w:eastAsia="en-GB"/>
        </w:rPr>
        <w:t xml:space="preserve">Source: </w:t>
      </w:r>
      <w:r>
        <w:rPr>
          <w:rFonts w:ascii="Times New Roman" w:eastAsia="Times New Roman" w:hAnsi="Times New Roman" w:cs="Times New Roman"/>
          <w:noProof/>
          <w:sz w:val="20"/>
          <w:szCs w:val="24"/>
          <w:lang w:eastAsia="en-GB"/>
        </w:rPr>
        <w:t>AMECO</w:t>
      </w:r>
    </w:p>
    <w:p w:rsidR="007E447C" w:rsidRDefault="007E447C">
      <w:pPr>
        <w:spacing w:before="120" w:after="120"/>
        <w:jc w:val="center"/>
        <w:rPr>
          <w:rFonts w:ascii="Times New Roman" w:eastAsia="Times New Roman" w:hAnsi="Times New Roman" w:cs="Times New Roman"/>
          <w:b/>
          <w:noProof/>
          <w:sz w:val="24"/>
          <w:szCs w:val="24"/>
          <w:lang w:eastAsia="en-GB"/>
        </w:rPr>
      </w:pP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Price competitiveness developments measured by Real Effective Exchange Rates (REERs) reflect only partly cost competitiveness changes based on ULCs. </w:t>
      </w:r>
      <w:r>
        <w:rPr>
          <w:rFonts w:ascii="Times New Roman" w:eastAsia="Times New Roman" w:hAnsi="Times New Roman" w:cs="Times New Roman"/>
          <w:noProof/>
          <w:lang w:eastAsia="en-GB"/>
        </w:rPr>
        <w:t>Differences in ULC growth have translated into cost competiveness gains and losses for EU Member States whe</w:t>
      </w:r>
      <w:r>
        <w:rPr>
          <w:rFonts w:ascii="Times New Roman" w:eastAsia="Times New Roman" w:hAnsi="Times New Roman" w:cs="Times New Roman"/>
          <w:noProof/>
          <w:lang w:eastAsia="en-GB"/>
        </w:rPr>
        <w:t xml:space="preserve">n measured by ULC-based REERs, which take into account both changes in ULC growth relative to competitors in domestic and third markets as well as developments in nominal exchange rates (Graph 9). </w:t>
      </w:r>
    </w:p>
    <w:p w:rsidR="007E447C" w:rsidRDefault="004D5789">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lang w:eastAsia="en-GB"/>
        </w:rPr>
      </w:pPr>
      <w:r>
        <w:rPr>
          <w:rFonts w:ascii="Times New Roman" w:eastAsia="Times New Roman" w:hAnsi="Times New Roman" w:cs="Times New Roman"/>
          <w:noProof/>
          <w:lang w:eastAsia="en-GB"/>
        </w:rPr>
        <w:t xml:space="preserve">Over recent years, </w:t>
      </w:r>
      <w:r>
        <w:rPr>
          <w:rFonts w:ascii="Times New Roman" w:eastAsia="Times New Roman" w:hAnsi="Times New Roman" w:cs="Times New Roman"/>
          <w:b/>
          <w:noProof/>
          <w:lang w:eastAsia="en-GB"/>
        </w:rPr>
        <w:t>a majority of euro-area Member States r</w:t>
      </w:r>
      <w:r>
        <w:rPr>
          <w:rFonts w:ascii="Times New Roman" w:eastAsia="Times New Roman" w:hAnsi="Times New Roman" w:cs="Times New Roman"/>
          <w:b/>
          <w:noProof/>
          <w:lang w:eastAsia="en-GB"/>
        </w:rPr>
        <w:t>ecorded reductions in the ULC-based REER</w:t>
      </w:r>
      <w:r>
        <w:rPr>
          <w:rFonts w:ascii="Times New Roman" w:eastAsia="Times New Roman" w:hAnsi="Times New Roman" w:cs="Times New Roman"/>
          <w:noProof/>
          <w:lang w:eastAsia="en-GB"/>
        </w:rPr>
        <w:t xml:space="preserve">, meaning that comparative drops in labour costs were sufficient to compensate for the appreciation of the euro in effective terms since 2016. </w:t>
      </w:r>
      <w:r>
        <w:rPr>
          <w:rFonts w:ascii="Times New Roman" w:eastAsia="Times New Roman" w:hAnsi="Times New Roman" w:cs="Times New Roman"/>
          <w:b/>
          <w:noProof/>
          <w:lang w:eastAsia="en-GB"/>
        </w:rPr>
        <w:t>A few euro-area countries</w:t>
      </w:r>
      <w:r>
        <w:rPr>
          <w:rFonts w:ascii="Times New Roman" w:eastAsia="Times New Roman" w:hAnsi="Times New Roman" w:cs="Times New Roman"/>
          <w:noProof/>
          <w:lang w:eastAsia="en-GB"/>
        </w:rPr>
        <w:t xml:space="preserve">, however, and </w:t>
      </w:r>
      <w:r>
        <w:rPr>
          <w:rFonts w:ascii="Times New Roman" w:eastAsia="Times New Roman" w:hAnsi="Times New Roman" w:cs="Times New Roman"/>
          <w:b/>
          <w:noProof/>
          <w:lang w:eastAsia="en-GB"/>
        </w:rPr>
        <w:t>notably</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the</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Baltics, recorded ins</w:t>
      </w:r>
      <w:r>
        <w:rPr>
          <w:rFonts w:ascii="Times New Roman" w:eastAsia="Times New Roman" w:hAnsi="Times New Roman" w:cs="Times New Roman"/>
          <w:b/>
          <w:noProof/>
          <w:lang w:eastAsia="en-GB"/>
        </w:rPr>
        <w:t>tead cost competitiveness losses</w:t>
      </w:r>
      <w:r>
        <w:rPr>
          <w:rFonts w:ascii="Times New Roman" w:eastAsia="Times New Roman" w:hAnsi="Times New Roman" w:cs="Times New Roman"/>
          <w:noProof/>
          <w:lang w:eastAsia="en-GB"/>
        </w:rPr>
        <w:t xml:space="preserve"> measured by the ULC-based REER. Among non-euro area countries, changes in the ULC-based were mostly linked to nominal exchange rate fluctuations, as measured by nominal effective exchange rates (NEERs). Depreciations implie</w:t>
      </w:r>
      <w:r>
        <w:rPr>
          <w:rFonts w:ascii="Times New Roman" w:eastAsia="Times New Roman" w:hAnsi="Times New Roman" w:cs="Times New Roman"/>
          <w:noProof/>
          <w:lang w:eastAsia="en-GB"/>
        </w:rPr>
        <w:t>d competitiveness gains in Poland, Romania, Sweden, and the United Kingdom; appreciations had mostly implications for Bulgaria and Czechia. In recent years, cost competitiveness gains measured by changes in the ULC-based REER were in general of a larger ma</w:t>
      </w:r>
      <w:r>
        <w:rPr>
          <w:rFonts w:ascii="Times New Roman" w:eastAsia="Times New Roman" w:hAnsi="Times New Roman" w:cs="Times New Roman"/>
          <w:noProof/>
          <w:lang w:eastAsia="en-GB"/>
        </w:rPr>
        <w:t>gnitude in net-debtor countries. The evidence is consistent with the one reviewed above relating to ULC dynamics.</w:t>
      </w:r>
    </w:p>
    <w:p w:rsidR="007E447C" w:rsidRDefault="004D5789">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Price competitiveness dynamics</w:t>
      </w:r>
      <w:r>
        <w:rPr>
          <w:rFonts w:ascii="Times New Roman" w:eastAsia="Times New Roman" w:hAnsi="Times New Roman" w:cs="Times New Roman"/>
          <w:noProof/>
          <w:lang w:eastAsia="en-GB"/>
        </w:rPr>
        <w:t xml:space="preserve">, measured by the GDP deflator-based REER, </w:t>
      </w:r>
      <w:r>
        <w:rPr>
          <w:rFonts w:ascii="Times New Roman" w:eastAsia="Times New Roman" w:hAnsi="Times New Roman" w:cs="Times New Roman"/>
          <w:b/>
          <w:noProof/>
          <w:lang w:eastAsia="en-GB"/>
        </w:rPr>
        <w:t>were more contained than cost competitiveness dynamics</w:t>
      </w:r>
      <w:r>
        <w:rPr>
          <w:rFonts w:ascii="Times New Roman" w:eastAsia="Times New Roman" w:hAnsi="Times New Roman" w:cs="Times New Roman"/>
          <w:noProof/>
          <w:lang w:eastAsia="en-GB"/>
        </w:rPr>
        <w:t>, measured acco</w:t>
      </w:r>
      <w:r>
        <w:rPr>
          <w:rFonts w:ascii="Times New Roman" w:eastAsia="Times New Roman" w:hAnsi="Times New Roman" w:cs="Times New Roman"/>
          <w:noProof/>
          <w:lang w:eastAsia="en-GB"/>
        </w:rPr>
        <w:t xml:space="preserve">rding to the ULC-based REER. It implies that part of the variation in ULC affected price-cost margins rather than being transferred into prices (Graph 9). Evidence suggesting </w:t>
      </w:r>
      <w:r>
        <w:rPr>
          <w:rFonts w:ascii="Times New Roman" w:eastAsia="Times New Roman" w:hAnsi="Times New Roman" w:cs="Times New Roman"/>
          <w:b/>
          <w:noProof/>
          <w:lang w:eastAsia="en-GB"/>
        </w:rPr>
        <w:t xml:space="preserve">margin compression </w:t>
      </w:r>
      <w:r>
        <w:rPr>
          <w:rFonts w:ascii="Times New Roman" w:eastAsia="Times New Roman" w:hAnsi="Times New Roman" w:cs="Times New Roman"/>
          <w:noProof/>
          <w:lang w:eastAsia="en-GB"/>
        </w:rPr>
        <w:t xml:space="preserve">was particularly </w:t>
      </w:r>
      <w:r>
        <w:rPr>
          <w:rFonts w:ascii="Times New Roman" w:eastAsia="Times New Roman" w:hAnsi="Times New Roman" w:cs="Times New Roman"/>
          <w:noProof/>
          <w:lang w:eastAsia="en-GB"/>
        </w:rPr>
        <w:lastRenderedPageBreak/>
        <w:t xml:space="preserve">strong in the countries recording large cost </w:t>
      </w:r>
      <w:r>
        <w:rPr>
          <w:rFonts w:ascii="Times New Roman" w:eastAsia="Times New Roman" w:hAnsi="Times New Roman" w:cs="Times New Roman"/>
          <w:noProof/>
          <w:lang w:eastAsia="en-GB"/>
        </w:rPr>
        <w:t>competitiveness losses, in particular the Baltic countries, Bulgaria and Romania.</w:t>
      </w:r>
      <w:r>
        <w:rPr>
          <w:rStyle w:val="FootnoteReference"/>
          <w:rFonts w:ascii="Times New Roman" w:eastAsia="Times New Roman" w:hAnsi="Times New Roman" w:cs="Times New Roman"/>
          <w:noProof/>
          <w:lang w:eastAsia="en-GB"/>
        </w:rPr>
        <w:footnoteReference w:id="22"/>
      </w:r>
      <w:r>
        <w:rPr>
          <w:rFonts w:ascii="Times New Roman" w:eastAsia="Times New Roman" w:hAnsi="Times New Roman" w:cs="Times New Roman"/>
          <w:noProof/>
          <w:lang w:eastAsia="en-GB"/>
        </w:rPr>
        <w:t xml:space="preserve"> </w:t>
      </w:r>
    </w:p>
    <w:p w:rsidR="007E447C" w:rsidRDefault="004D5789">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a number of countries, very moderate or </w:t>
      </w:r>
      <w:r>
        <w:rPr>
          <w:rFonts w:ascii="Times New Roman" w:eastAsia="Times New Roman" w:hAnsi="Times New Roman" w:cs="Times New Roman"/>
          <w:b/>
          <w:noProof/>
          <w:lang w:eastAsia="en-GB"/>
        </w:rPr>
        <w:t>negative consumer price inflation rates</w:t>
      </w:r>
      <w:r>
        <w:rPr>
          <w:rFonts w:ascii="Times New Roman" w:eastAsia="Times New Roman" w:hAnsi="Times New Roman" w:cs="Times New Roman"/>
          <w:noProof/>
          <w:lang w:eastAsia="en-GB"/>
        </w:rPr>
        <w:t xml:space="preserve"> were reflected in strong </w:t>
      </w:r>
      <w:r>
        <w:rPr>
          <w:rFonts w:ascii="Times New Roman" w:eastAsia="Times New Roman" w:hAnsi="Times New Roman" w:cs="Times New Roman"/>
          <w:b/>
          <w:noProof/>
          <w:lang w:eastAsia="en-GB"/>
        </w:rPr>
        <w:t>competitiveness gains</w:t>
      </w:r>
      <w:r>
        <w:rPr>
          <w:rFonts w:ascii="Times New Roman" w:eastAsia="Times New Roman" w:hAnsi="Times New Roman" w:cs="Times New Roman"/>
          <w:noProof/>
          <w:lang w:eastAsia="en-GB"/>
        </w:rPr>
        <w:t xml:space="preserve"> as measured by the HICP-based REER. Two countries, Cyprus and Ireland, were even below the lower scoreboard threshold in 2017. In most countries, </w:t>
      </w:r>
      <w:r>
        <w:rPr>
          <w:rFonts w:ascii="Times New Roman" w:eastAsia="Times New Roman" w:hAnsi="Times New Roman" w:cs="Times New Roman"/>
          <w:b/>
          <w:noProof/>
          <w:lang w:eastAsia="en-GB"/>
        </w:rPr>
        <w:t>the current competitiveness position is more favourable than it was before the crisis as the HICP-based REER</w:t>
      </w: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t>level lies below the one recorded at previous peaks. The real depreciation coincided in most cases with a reduction of the relative price of non-tradables, and an increased share of tradables in the economy, improving the potential for export-led growth dy</w:t>
      </w:r>
      <w:r>
        <w:rPr>
          <w:rFonts w:ascii="Times New Roman" w:eastAsia="Times New Roman" w:hAnsi="Times New Roman" w:cs="Times New Roman"/>
          <w:noProof/>
          <w:lang w:eastAsia="en-GB"/>
        </w:rPr>
        <w:t xml:space="preserve">namics. However, in few countries, notably Austria, Estonia and Lithuania, current HICP-based REER figures are close or above previous peaks. </w:t>
      </w:r>
    </w:p>
    <w:p w:rsidR="007E447C" w:rsidRDefault="007E447C">
      <w:pPr>
        <w:pStyle w:val="ListParagraph"/>
        <w:spacing w:before="120" w:after="120"/>
        <w:ind w:left="567"/>
        <w:contextualSpacing w:val="0"/>
        <w:jc w:val="both"/>
        <w:rPr>
          <w:rFonts w:ascii="Times New Roman" w:eastAsia="Times New Roman" w:hAnsi="Times New Roman" w:cs="Times New Roman"/>
          <w:b/>
          <w:noProof/>
          <w:lang w:eastAsia="en-GB"/>
        </w:rPr>
      </w:pPr>
    </w:p>
    <w:p w:rsidR="007E447C" w:rsidRDefault="004D5789">
      <w:pPr>
        <w:keepNext/>
        <w:spacing w:before="120" w:after="120"/>
        <w:jc w:val="center"/>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t>Graph 9: Nominal and real effective exchange rates (NEER and REER)</w:t>
      </w:r>
    </w:p>
    <w:p w:rsidR="007E447C" w:rsidRDefault="004D5789">
      <w:pPr>
        <w:keepNext/>
        <w:spacing w:before="120" w:after="120"/>
        <w:jc w:val="center"/>
        <w:rPr>
          <w:rFonts w:ascii="Times New Roman" w:eastAsia="MS Mincho" w:hAnsi="Times New Roman" w:cs="Times New Roman"/>
          <w:b/>
          <w:bCs/>
          <w:noProof/>
          <w:lang w:eastAsia="ja-JP"/>
        </w:rPr>
      </w:pPr>
      <w:bookmarkStart w:id="22" w:name="eventualreer"/>
      <w:r>
        <w:rPr>
          <w:rFonts w:ascii="Times New Roman" w:eastAsia="MS Mincho" w:hAnsi="Times New Roman" w:cs="Times New Roman"/>
          <w:b/>
          <w:bCs/>
          <w:noProof/>
          <w:lang w:eastAsia="en-GB"/>
        </w:rPr>
        <w:drawing>
          <wp:inline distT="0" distB="0" distL="0" distR="0">
            <wp:extent cx="5220970" cy="287591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0970" cy="2875915"/>
                    </a:xfrm>
                    <a:prstGeom prst="rect">
                      <a:avLst/>
                    </a:prstGeom>
                    <a:noFill/>
                    <a:ln>
                      <a:noFill/>
                    </a:ln>
                  </pic:spPr>
                </pic:pic>
              </a:graphicData>
            </a:graphic>
          </wp:inline>
        </w:drawing>
      </w:r>
      <w:bookmarkEnd w:id="22"/>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AMECO</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xml:space="preserve"> Countries are presented</w:t>
      </w:r>
      <w:r>
        <w:rPr>
          <w:rFonts w:ascii="Times New Roman" w:eastAsia="Times New Roman" w:hAnsi="Times New Roman" w:cs="Times New Roman"/>
          <w:noProof/>
          <w:sz w:val="20"/>
          <w:szCs w:val="20"/>
          <w:lang w:eastAsia="en-GB"/>
        </w:rPr>
        <w:t xml:space="preserve"> in increasing order of the average annual variation of the Real Effective Exchange Rate (REER) based on ULC growth between 2015 and 2017. The REERs based on ULC and on the GDP deflator and the Nominal Effective Exchange Rate (NEER) are computed vis-à-vis </w:t>
      </w:r>
      <w:r>
        <w:rPr>
          <w:rFonts w:ascii="Times New Roman" w:eastAsia="Times New Roman" w:hAnsi="Times New Roman" w:cs="Times New Roman"/>
          <w:noProof/>
          <w:sz w:val="20"/>
          <w:szCs w:val="20"/>
          <w:lang w:eastAsia="en-GB"/>
        </w:rPr>
        <w:t>37 trading partners; the HICP-based REER is computed vis-à-vis 42 trading partners as in the AMR scoreboard.</w:t>
      </w:r>
    </w:p>
    <w:p w:rsidR="007E447C" w:rsidRDefault="007E447C">
      <w:pPr>
        <w:spacing w:before="120" w:after="120"/>
        <w:jc w:val="both"/>
        <w:rPr>
          <w:rFonts w:ascii="Times New Roman" w:eastAsia="Times New Roman" w:hAnsi="Times New Roman" w:cs="Times New Roman"/>
          <w:noProof/>
          <w:sz w:val="20"/>
          <w:szCs w:val="20"/>
          <w:lang w:eastAsia="en-GB"/>
        </w:rPr>
      </w:pPr>
    </w:p>
    <w:p w:rsidR="007E447C" w:rsidRDefault="004D5789">
      <w:pP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br w:type="page"/>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lastRenderedPageBreak/>
        <w:t>Export market share gains are recorded in a majority of EU countries, but are becoming smaller in magnitude</w:t>
      </w:r>
      <w:r>
        <w:rPr>
          <w:rFonts w:ascii="Times New Roman" w:eastAsia="Times New Roman" w:hAnsi="Times New Roman" w:cs="Times New Roman"/>
          <w:noProof/>
          <w:lang w:eastAsia="en-GB"/>
        </w:rPr>
        <w:t xml:space="preserve">. The cumulated export market share </w:t>
      </w:r>
      <w:r>
        <w:rPr>
          <w:rFonts w:ascii="Times New Roman" w:eastAsia="Times New Roman" w:hAnsi="Times New Roman" w:cs="Times New Roman"/>
          <w:noProof/>
          <w:lang w:eastAsia="en-GB"/>
        </w:rPr>
        <w:t>change over 5 years recorded in 2017 shows positive values in most EU Member States, and only in one country (Greece) export market shares losses were beyond the scoreboard threshold. More recent data show a differentiated picture, with gains still prevail</w:t>
      </w:r>
      <w:r>
        <w:rPr>
          <w:rFonts w:ascii="Times New Roman" w:eastAsia="Times New Roman" w:hAnsi="Times New Roman" w:cs="Times New Roman"/>
          <w:noProof/>
          <w:lang w:eastAsia="en-GB"/>
        </w:rPr>
        <w:t>ing but becoming more moderate in 2017 against the backdrop of the appreciation of the euro and less supportive commodity price dynamics. At the same time, while export activity of EU countries continued its recovery in 2017, export growth by other economi</w:t>
      </w:r>
      <w:r>
        <w:rPr>
          <w:rFonts w:ascii="Times New Roman" w:eastAsia="Times New Roman" w:hAnsi="Times New Roman" w:cs="Times New Roman"/>
          <w:noProof/>
          <w:lang w:eastAsia="en-GB"/>
        </w:rPr>
        <w:t>es came close to that of the EU in 2017 with an acceleration from previous years.</w:t>
      </w:r>
      <w:r>
        <w:rPr>
          <w:rStyle w:val="FootnoteReference"/>
          <w:rFonts w:ascii="Times New Roman" w:eastAsia="Times New Roman" w:hAnsi="Times New Roman" w:cs="Times New Roman"/>
          <w:noProof/>
          <w:lang w:eastAsia="en-GB"/>
        </w:rPr>
        <w:footnoteReference w:id="23"/>
      </w:r>
    </w:p>
    <w:p w:rsidR="007E447C" w:rsidRDefault="004D5789">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eastAsia="en-GB"/>
        </w:rPr>
      </w:pPr>
      <w:r>
        <w:rPr>
          <w:rFonts w:ascii="Times New Roman" w:eastAsia="Times New Roman" w:hAnsi="Times New Roman" w:cs="Times New Roman"/>
          <w:noProof/>
          <w:lang w:eastAsia="en-GB"/>
        </w:rPr>
        <w:t xml:space="preserve">The past overall positive trend in export market shares for the EU has been favoured by a rebound in intra-EU export demand and competitiveness gains as reviewed above. </w:t>
      </w:r>
      <w:r>
        <w:rPr>
          <w:rFonts w:ascii="Times New Roman" w:eastAsia="Times New Roman" w:hAnsi="Times New Roman" w:cs="Times New Roman"/>
          <w:b/>
          <w:noProof/>
          <w:lang w:eastAsia="en-GB"/>
        </w:rPr>
        <w:t>Mark</w:t>
      </w:r>
      <w:r>
        <w:rPr>
          <w:rFonts w:ascii="Times New Roman" w:eastAsia="Times New Roman" w:hAnsi="Times New Roman" w:cs="Times New Roman"/>
          <w:b/>
          <w:noProof/>
          <w:lang w:eastAsia="en-GB"/>
        </w:rPr>
        <w:t>et share gains were in general somehow more pronounced in net-debtor countries</w:t>
      </w: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and Central and some Eastern European countries</w:t>
      </w:r>
      <w:r>
        <w:rPr>
          <w:rFonts w:ascii="Times New Roman" w:eastAsia="Times New Roman" w:hAnsi="Times New Roman" w:cs="Times New Roman"/>
          <w:noProof/>
          <w:lang w:eastAsia="en-GB"/>
        </w:rPr>
        <w:t>, meaning that stronger competitiveness gains in those countries also tended to translate into an advantage in terms of export pen</w:t>
      </w:r>
      <w:r>
        <w:rPr>
          <w:rFonts w:ascii="Times New Roman" w:eastAsia="Times New Roman" w:hAnsi="Times New Roman" w:cs="Times New Roman"/>
          <w:noProof/>
          <w:lang w:eastAsia="en-GB"/>
        </w:rPr>
        <w:t xml:space="preserve">etration. </w:t>
      </w:r>
    </w:p>
    <w:p w:rsidR="007E447C" w:rsidRDefault="004D5789">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eastAsia="en-GB"/>
        </w:rPr>
      </w:pPr>
      <w:r>
        <w:rPr>
          <w:rFonts w:ascii="Times New Roman" w:eastAsia="Times New Roman" w:hAnsi="Times New Roman" w:cs="Times New Roman"/>
          <w:noProof/>
          <w:lang w:eastAsia="en-GB"/>
        </w:rPr>
        <w:t xml:space="preserve">More recent data on annual market share changes indicate gains in 2016, followed by generally more moderate outturns for 2017 (Graph 10). </w:t>
      </w:r>
      <w:r>
        <w:rPr>
          <w:rFonts w:ascii="Times New Roman" w:eastAsia="Times New Roman" w:hAnsi="Times New Roman" w:cs="Times New Roman"/>
          <w:b/>
          <w:noProof/>
          <w:lang w:eastAsia="en-GB"/>
        </w:rPr>
        <w:t>Gains became more moderate in almost all EU Member States in 2017</w:t>
      </w:r>
      <w:r>
        <w:rPr>
          <w:rFonts w:ascii="Times New Roman" w:eastAsia="Times New Roman" w:hAnsi="Times New Roman" w:cs="Times New Roman"/>
          <w:noProof/>
          <w:lang w:eastAsia="en-GB"/>
        </w:rPr>
        <w:t>, while stronger gains were recorded in Gr</w:t>
      </w:r>
      <w:r>
        <w:rPr>
          <w:rFonts w:ascii="Times New Roman" w:eastAsia="Times New Roman" w:hAnsi="Times New Roman" w:cs="Times New Roman"/>
          <w:noProof/>
          <w:lang w:eastAsia="en-GB"/>
        </w:rPr>
        <w:t>eece and Lithuania, reflecting a reversal of previous large losses.</w:t>
      </w:r>
    </w:p>
    <w:p w:rsidR="007E447C" w:rsidRDefault="007E447C">
      <w:pPr>
        <w:spacing w:before="120" w:after="120"/>
        <w:jc w:val="center"/>
        <w:rPr>
          <w:rFonts w:ascii="Times New Roman" w:eastAsia="Times New Roman" w:hAnsi="Times New Roman" w:cs="Times New Roman"/>
          <w:b/>
          <w:noProof/>
          <w:sz w:val="24"/>
          <w:szCs w:val="24"/>
          <w:lang w:eastAsia="en-GB"/>
        </w:rPr>
      </w:pPr>
    </w:p>
    <w:p w:rsidR="007E447C" w:rsidRDefault="004D5789">
      <w:pPr>
        <w:keepNext/>
        <w:spacing w:before="120" w:after="120"/>
        <w:jc w:val="center"/>
        <w:rPr>
          <w:rFonts w:ascii="Times New Roman" w:eastAsia="MS Mincho" w:hAnsi="Times New Roman" w:cs="Times New Roman"/>
          <w:b/>
          <w:bCs/>
          <w:noProof/>
          <w:lang w:eastAsia="ja-JP"/>
        </w:rPr>
      </w:pPr>
      <w:bookmarkStart w:id="23" w:name="_Ref525669373"/>
      <w:r>
        <w:rPr>
          <w:rFonts w:ascii="Times New Roman" w:eastAsia="MS Mincho" w:hAnsi="Times New Roman" w:cs="Times New Roman"/>
          <w:b/>
          <w:bCs/>
          <w:noProof/>
          <w:lang w:eastAsia="ja-JP"/>
        </w:rPr>
        <w:t>Graph 1</w:t>
      </w:r>
      <w:bookmarkEnd w:id="23"/>
      <w:r>
        <w:rPr>
          <w:rFonts w:ascii="Times New Roman" w:eastAsia="MS Mincho" w:hAnsi="Times New Roman" w:cs="Times New Roman"/>
          <w:b/>
          <w:bCs/>
          <w:noProof/>
          <w:lang w:eastAsia="ja-JP"/>
        </w:rPr>
        <w:t>0: Change in export market shares, recent years</w:t>
      </w:r>
    </w:p>
    <w:p w:rsidR="007E447C" w:rsidRDefault="004D5789">
      <w:pPr>
        <w:spacing w:before="120" w:after="120"/>
        <w:jc w:val="center"/>
        <w:rPr>
          <w:rFonts w:ascii="Times New Roman" w:eastAsia="Times New Roman" w:hAnsi="Times New Roman" w:cs="Times New Roman"/>
          <w:b/>
          <w:noProof/>
          <w:sz w:val="24"/>
          <w:szCs w:val="24"/>
          <w:lang w:eastAsia="en-GB"/>
        </w:rPr>
      </w:pPr>
      <w:bookmarkStart w:id="24" w:name="ems"/>
      <w:r>
        <w:rPr>
          <w:rFonts w:ascii="Times New Roman" w:eastAsia="Times New Roman" w:hAnsi="Times New Roman" w:cs="Times New Roman"/>
          <w:b/>
          <w:noProof/>
          <w:sz w:val="24"/>
          <w:szCs w:val="24"/>
          <w:lang w:eastAsia="en-GB"/>
        </w:rPr>
        <w:drawing>
          <wp:inline distT="0" distB="0" distL="0" distR="0">
            <wp:extent cx="5220970" cy="2905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970" cy="2905125"/>
                    </a:xfrm>
                    <a:prstGeom prst="rect">
                      <a:avLst/>
                    </a:prstGeom>
                    <a:noFill/>
                    <a:ln>
                      <a:noFill/>
                    </a:ln>
                  </pic:spPr>
                </pic:pic>
              </a:graphicData>
            </a:graphic>
          </wp:inline>
        </w:drawing>
      </w:r>
      <w:bookmarkEnd w:id="24"/>
    </w:p>
    <w:p w:rsidR="007E447C" w:rsidRDefault="004D5789">
      <w:pPr>
        <w:spacing w:after="0"/>
        <w:jc w:val="both"/>
        <w:rPr>
          <w:rFonts w:ascii="Times New Roman" w:eastAsia="Times New Roman" w:hAnsi="Times New Roman" w:cs="Times New Roman"/>
          <w:noProof/>
          <w:sz w:val="20"/>
          <w:szCs w:val="20"/>
          <w:lang w:val="fr-BE" w:eastAsia="en-GB"/>
        </w:rPr>
      </w:pPr>
      <w:r>
        <w:rPr>
          <w:rFonts w:ascii="Times New Roman" w:eastAsia="Times New Roman" w:hAnsi="Times New Roman" w:cs="Times New Roman"/>
          <w:i/>
          <w:noProof/>
          <w:sz w:val="20"/>
          <w:szCs w:val="20"/>
          <w:lang w:val="fr-BE" w:eastAsia="en-GB"/>
        </w:rPr>
        <w:t>Source:</w:t>
      </w:r>
      <w:r>
        <w:rPr>
          <w:rFonts w:ascii="Times New Roman" w:eastAsia="Times New Roman" w:hAnsi="Times New Roman" w:cs="Times New Roman"/>
          <w:noProof/>
          <w:sz w:val="20"/>
          <w:szCs w:val="20"/>
          <w:lang w:val="fr-BE" w:eastAsia="en-GB"/>
        </w:rPr>
        <w:t xml:space="preserve"> Eurostat, Commission services calculations.</w:t>
      </w:r>
    </w:p>
    <w:p w:rsidR="007E447C" w:rsidRDefault="004D5789">
      <w:pPr>
        <w:spacing w:after="0"/>
        <w:jc w:val="both"/>
        <w:rPr>
          <w:rFonts w:ascii="Times New Roman" w:eastAsia="Times New Roman" w:hAnsi="Times New Roman" w:cs="Times New Roman"/>
          <w:i/>
          <w:noProof/>
          <w:sz w:val="20"/>
          <w:szCs w:val="20"/>
          <w:lang w:eastAsia="en-GB"/>
        </w:rPr>
      </w:pPr>
      <w:r>
        <w:rPr>
          <w:rFonts w:ascii="Times New Roman" w:eastAsia="Times New Roman" w:hAnsi="Times New Roman" w:cs="Times New Roman"/>
          <w:i/>
          <w:noProof/>
          <w:sz w:val="20"/>
          <w:szCs w:val="20"/>
          <w:lang w:eastAsia="en-GB"/>
        </w:rPr>
        <w:t xml:space="preserve">Note: </w:t>
      </w:r>
      <w:r>
        <w:rPr>
          <w:rFonts w:ascii="Times New Roman" w:eastAsia="Times New Roman" w:hAnsi="Times New Roman" w:cs="Times New Roman"/>
          <w:noProof/>
          <w:sz w:val="20"/>
          <w:szCs w:val="20"/>
          <w:lang w:eastAsia="en-GB"/>
        </w:rPr>
        <w:t xml:space="preserve">Countries are presented in increasing order of the annual variation of </w:t>
      </w:r>
      <w:r>
        <w:rPr>
          <w:rFonts w:ascii="Times New Roman" w:eastAsia="Times New Roman" w:hAnsi="Times New Roman" w:cs="Times New Roman"/>
          <w:noProof/>
          <w:sz w:val="20"/>
          <w:szCs w:val="20"/>
          <w:lang w:eastAsia="en-GB"/>
        </w:rPr>
        <w:t>the export market shares in 2017.</w:t>
      </w:r>
    </w:p>
    <w:p w:rsidR="007E447C" w:rsidRDefault="004D5789">
      <w:pPr>
        <w:rPr>
          <w:rFonts w:ascii="Times New Roman" w:eastAsia="Times New Roman" w:hAnsi="Times New Roman" w:cs="Times New Roman"/>
          <w:i/>
          <w:noProof/>
          <w:sz w:val="20"/>
          <w:szCs w:val="20"/>
          <w:lang w:eastAsia="en-GB"/>
        </w:rPr>
      </w:pPr>
      <w:r>
        <w:rPr>
          <w:rFonts w:ascii="Times New Roman" w:eastAsia="Times New Roman" w:hAnsi="Times New Roman" w:cs="Times New Roman"/>
          <w:i/>
          <w:noProof/>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7E447C">
        <w:tc>
          <w:tcPr>
            <w:tcW w:w="9288" w:type="dxa"/>
            <w:shd w:val="clear" w:color="auto" w:fill="BFBFBF" w:themeFill="background1" w:themeFillShade="BF"/>
          </w:tcPr>
          <w:p w:rsidR="007E447C" w:rsidRDefault="004D5789">
            <w:pPr>
              <w:jc w:val="both"/>
              <w:rPr>
                <w:rFonts w:ascii="Times New Roman" w:hAnsi="Times New Roman" w:cs="Times New Roman"/>
                <w:b/>
                <w:i/>
                <w:noProof/>
              </w:rPr>
            </w:pPr>
            <w:r>
              <w:rPr>
                <w:rFonts w:ascii="Times New Roman" w:hAnsi="Times New Roman" w:cs="Times New Roman"/>
                <w:noProof/>
              </w:rPr>
              <w:lastRenderedPageBreak/>
              <w:br w:type="page"/>
            </w:r>
            <w:r>
              <w:rPr>
                <w:rFonts w:ascii="Times New Roman" w:hAnsi="Times New Roman" w:cs="Times New Roman"/>
                <w:noProof/>
              </w:rPr>
              <w:br w:type="page"/>
            </w:r>
            <w:r>
              <w:rPr>
                <w:rFonts w:ascii="Times New Roman" w:hAnsi="Times New Roman" w:cs="Times New Roman"/>
                <w:noProof/>
              </w:rPr>
              <w:br w:type="page"/>
            </w:r>
            <w:r>
              <w:rPr>
                <w:rFonts w:ascii="Times New Roman" w:hAnsi="Times New Roman" w:cs="Times New Roman"/>
                <w:b/>
                <w:i/>
                <w:noProof/>
              </w:rPr>
              <w:t>Box 2: The euro area dimension of macroeconomic imbalances</w:t>
            </w:r>
          </w:p>
          <w:p w:rsidR="007E447C" w:rsidRDefault="004D5789">
            <w:pPr>
              <w:jc w:val="both"/>
              <w:rPr>
                <w:rFonts w:ascii="Times New Roman" w:hAnsi="Times New Roman" w:cs="Times New Roman"/>
                <w:noProof/>
              </w:rPr>
            </w:pPr>
            <w:r>
              <w:rPr>
                <w:rFonts w:ascii="Times New Roman" w:hAnsi="Times New Roman" w:cs="Times New Roman"/>
                <w:b/>
                <w:noProof/>
              </w:rPr>
              <w:t xml:space="preserve">The euro area current account has stabilised at very high levels. </w:t>
            </w:r>
            <w:r>
              <w:rPr>
                <w:rFonts w:ascii="Times New Roman" w:hAnsi="Times New Roman" w:cs="Times New Roman"/>
                <w:noProof/>
              </w:rPr>
              <w:t>The current account balance of the euro area increased visibly after the 2008 crisis and unt</w:t>
            </w:r>
            <w:r>
              <w:rPr>
                <w:rFonts w:ascii="Times New Roman" w:hAnsi="Times New Roman" w:cs="Times New Roman"/>
                <w:noProof/>
              </w:rPr>
              <w:t>il 2016. Since then its value has stabilised at around 3.2% of GDP in 2016 and 2017, based on Balance of Payments statistics.</w:t>
            </w:r>
            <w:r>
              <w:rPr>
                <w:rStyle w:val="FootnoteReference"/>
                <w:rFonts w:ascii="Times New Roman" w:hAnsi="Times New Roman" w:cs="Times New Roman"/>
                <w:noProof/>
              </w:rPr>
              <w:footnoteReference w:id="24"/>
            </w:r>
            <w:r>
              <w:rPr>
                <w:rFonts w:ascii="Times New Roman" w:hAnsi="Times New Roman" w:cs="Times New Roman"/>
                <w:noProof/>
              </w:rPr>
              <w:t xml:space="preserve"> The euro-area current account surplus remains the largest worldwide, and is estimated to be above the value that would be expecte</w:t>
            </w:r>
            <w:r>
              <w:rPr>
                <w:rFonts w:ascii="Times New Roman" w:hAnsi="Times New Roman" w:cs="Times New Roman"/>
                <w:noProof/>
              </w:rPr>
              <w:t>d on the basis of economic fundamentals (about 1.5% of euro area GDP).</w:t>
            </w:r>
            <w:r>
              <w:rPr>
                <w:rStyle w:val="FootnoteReference"/>
                <w:rFonts w:ascii="Times New Roman" w:hAnsi="Times New Roman" w:cs="Times New Roman"/>
                <w:noProof/>
              </w:rPr>
              <w:footnoteReference w:id="25"/>
            </w:r>
            <w:r>
              <w:rPr>
                <w:rFonts w:ascii="Times New Roman" w:hAnsi="Times New Roman" w:cs="Times New Roman"/>
                <w:noProof/>
              </w:rPr>
              <w:t xml:space="preserve"> At unchanged policies, the euro area current account surplus is expected to edge down somewhat by 2020 according to the European Commission autumn 2018 forecast.</w:t>
            </w:r>
            <w:r>
              <w:rPr>
                <w:rStyle w:val="FootnoteReference"/>
                <w:rFonts w:ascii="Times New Roman" w:hAnsi="Times New Roman" w:cs="Times New Roman"/>
                <w:noProof/>
              </w:rPr>
              <w:footnoteReference w:id="26"/>
            </w:r>
            <w:r>
              <w:rPr>
                <w:rFonts w:ascii="Times New Roman" w:hAnsi="Times New Roman" w:cs="Times New Roman"/>
                <w:noProof/>
              </w:rPr>
              <w:t xml:space="preserve"> Factors that could co</w:t>
            </w:r>
            <w:r>
              <w:rPr>
                <w:rFonts w:ascii="Times New Roman" w:hAnsi="Times New Roman" w:cs="Times New Roman"/>
                <w:noProof/>
              </w:rPr>
              <w:t>ntribute to a reduction of the surplus include a relative weakening of cyclical conditions in other areas of the world economy, the unfolding of the effects from restrictive trade policies and from the recent euro effective real appreciation, a possible fu</w:t>
            </w:r>
            <w:r>
              <w:rPr>
                <w:rFonts w:ascii="Times New Roman" w:hAnsi="Times New Roman" w:cs="Times New Roman"/>
                <w:noProof/>
              </w:rPr>
              <w:t xml:space="preserve">rther euro appreciation (inter alia linked to upward market pressures arising from the persistent large external surplus), or the protraction of the ongoing trend towards higher oil prices.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7E447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b/>
                      <w:noProof/>
                    </w:rPr>
                  </w:pPr>
                  <w:r>
                    <w:rPr>
                      <w:rFonts w:ascii="Times New Roman" w:hAnsi="Times New Roman" w:cs="Times New Roman"/>
                      <w:b/>
                      <w:noProof/>
                    </w:rPr>
                    <w:t xml:space="preserve">Graph B.1: Euro area current account evolution: breakdown by country </w:t>
                  </w:r>
                </w:p>
              </w:t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b/>
                      <w:noProof/>
                    </w:rPr>
                  </w:pPr>
                  <w:r>
                    <w:rPr>
                      <w:rFonts w:ascii="Times New Roman" w:hAnsi="Times New Roman" w:cs="Times New Roman"/>
                      <w:b/>
                      <w:noProof/>
                    </w:rPr>
                    <w:t xml:space="preserve">Graph B.2: Euro area current account evolution: breakdown by items </w:t>
                  </w:r>
                </w:p>
              </w:tc>
            </w:tr>
            <w:tr w:rsidR="007E447C">
              <w:trPr>
                <w:trHeight w:val="3346"/>
              </w:trPr>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43200" cy="25114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51142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7485" cy="2514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7485" cy="2514600"/>
                                </a:xfrm>
                                <a:prstGeom prst="rect">
                                  <a:avLst/>
                                </a:prstGeom>
                                <a:noFill/>
                                <a:ln>
                                  <a:noFill/>
                                </a:ln>
                              </pic:spPr>
                            </pic:pic>
                          </a:graphicData>
                        </a:graphic>
                      </wp:inline>
                    </w:drawing>
                  </w:r>
                </w:p>
              </w:tc>
            </w:tr>
            <w:tr w:rsidR="007E447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 Balance of payments figures.</w:t>
                  </w:r>
                </w:p>
              </w:tc>
              <w:tc>
                <w:tcPr>
                  <w:tcW w:w="4531" w:type="dxa"/>
                  <w:tcBorders>
                    <w:top w:val="nil"/>
                    <w:left w:val="nil"/>
                    <w:bottom w:val="nil"/>
                    <w:right w:val="nil"/>
                  </w:tcBorders>
                  <w:shd w:val="clear" w:color="auto" w:fill="auto"/>
                </w:tcPr>
                <w:p w:rsidR="007E447C" w:rsidRDefault="004D5789">
                  <w:pPr>
                    <w:spacing w:after="0"/>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Eurostat, Balance of payment figures. </w:t>
                  </w:r>
                </w:p>
                <w:p w:rsidR="007E447C" w:rsidRDefault="004D5789">
                  <w:pPr>
                    <w:spacing w:after="0"/>
                    <w:jc w:val="both"/>
                    <w:rPr>
                      <w:rFonts w:ascii="Times New Roman" w:hAnsi="Times New Roman" w:cs="Times New Roman"/>
                      <w:noProof/>
                      <w:sz w:val="20"/>
                    </w:rPr>
                  </w:pPr>
                  <w:r>
                    <w:rPr>
                      <w:rFonts w:ascii="Times New Roman" w:hAnsi="Times New Roman" w:cs="Times New Roman"/>
                      <w:i/>
                      <w:noProof/>
                      <w:sz w:val="20"/>
                    </w:rPr>
                    <w:t>Note:</w:t>
                  </w:r>
                  <w:r>
                    <w:rPr>
                      <w:rFonts w:ascii="Times New Roman" w:hAnsi="Times New Roman" w:cs="Times New Roman"/>
                      <w:noProof/>
                      <w:sz w:val="20"/>
                    </w:rPr>
                    <w:t xml:space="preserve"> "18*" refers to the four quarters moving average data until 2018-Q2.</w:t>
                  </w:r>
                </w:p>
              </w:tc>
            </w:tr>
          </w:tbl>
          <w:p w:rsidR="007E447C" w:rsidRDefault="007E447C">
            <w:pPr>
              <w:spacing w:after="120"/>
              <w:jc w:val="both"/>
              <w:rPr>
                <w:rFonts w:ascii="Times New Roman" w:hAnsi="Times New Roman" w:cs="Times New Roman"/>
                <w:b/>
                <w:noProof/>
              </w:rPr>
            </w:pPr>
          </w:p>
          <w:p w:rsidR="007E447C" w:rsidRDefault="007E447C">
            <w:pPr>
              <w:spacing w:after="120"/>
              <w:jc w:val="both"/>
              <w:rPr>
                <w:rFonts w:ascii="Times New Roman" w:hAnsi="Times New Roman" w:cs="Times New Roman"/>
                <w:b/>
                <w:noProof/>
              </w:rPr>
            </w:pPr>
          </w:p>
          <w:p w:rsidR="007E447C" w:rsidRDefault="004D5789">
            <w:pPr>
              <w:spacing w:after="120"/>
              <w:jc w:val="both"/>
              <w:rPr>
                <w:rFonts w:ascii="Times New Roman" w:hAnsi="Times New Roman" w:cs="Times New Roman"/>
                <w:noProof/>
              </w:rPr>
            </w:pPr>
            <w:r>
              <w:rPr>
                <w:rFonts w:ascii="Times New Roman" w:hAnsi="Times New Roman" w:cs="Times New Roman"/>
                <w:b/>
                <w:noProof/>
              </w:rPr>
              <w:lastRenderedPageBreak/>
              <w:t>The built-up of the euro-area surplus reflects the correction of current accounts previously in deficit coupled with the persistence of large surpluses</w:t>
            </w:r>
            <w:r>
              <w:rPr>
                <w:rFonts w:ascii="Times New Roman" w:hAnsi="Times New Roman" w:cs="Times New Roman"/>
                <w:noProof/>
              </w:rPr>
              <w:t xml:space="preserve"> The euro-area current account position was broadly balanced before 2008, recorded a deficit in that year amid a large drop in world export demand, and moved into surplus after the 2008 financial crisis mainly in light of the sharp correction of large defi</w:t>
            </w:r>
            <w:r>
              <w:rPr>
                <w:rFonts w:ascii="Times New Roman" w:hAnsi="Times New Roman" w:cs="Times New Roman"/>
                <w:noProof/>
              </w:rPr>
              <w:t>cits following a reversal in private cross-border financial flows (Graph B.1). The surplus further increased after 2011 with the spreading of the debt crisis to Spain and Italy and the ensuing compression in domestic demand that contributed to shift the cu</w:t>
            </w:r>
            <w:r>
              <w:rPr>
                <w:rFonts w:ascii="Times New Roman" w:hAnsi="Times New Roman" w:cs="Times New Roman"/>
                <w:noProof/>
              </w:rPr>
              <w:t xml:space="preserve">rrent account balance of these countries into surplus. Since 2011, there was also a gradual increase in the large current account surplus of Germany. At present, the current account surplus of the euro area is mainly the result of large surpluses recorded </w:t>
            </w:r>
            <w:r>
              <w:rPr>
                <w:rFonts w:ascii="Times New Roman" w:hAnsi="Times New Roman" w:cs="Times New Roman"/>
                <w:noProof/>
              </w:rPr>
              <w:t>in Germany and the Netherlands, whose combined external positions account for the bulk of the euro-area surplus (Graph B.1). Since 2016, the gradual reduction in the German current account surplus is associated with the stabilisation of the surplus recorde</w:t>
            </w:r>
            <w:r>
              <w:rPr>
                <w:rFonts w:ascii="Times New Roman" w:hAnsi="Times New Roman" w:cs="Times New Roman"/>
                <w:noProof/>
              </w:rPr>
              <w:t xml:space="preserve">d by the euro area. </w:t>
            </w:r>
          </w:p>
          <w:p w:rsidR="007E447C" w:rsidRDefault="004D5789">
            <w:pPr>
              <w:spacing w:after="120"/>
              <w:jc w:val="both"/>
              <w:rPr>
                <w:rFonts w:ascii="Times New Roman" w:hAnsi="Times New Roman" w:cs="Times New Roman"/>
                <w:noProof/>
              </w:rPr>
            </w:pPr>
            <w:r>
              <w:rPr>
                <w:rFonts w:ascii="Times New Roman" w:hAnsi="Times New Roman" w:cs="Times New Roman"/>
                <w:b/>
                <w:noProof/>
              </w:rPr>
              <w:t xml:space="preserve">The recent evolution of the euro-area current account was mainly linked to the energy, income and services balance. </w:t>
            </w:r>
            <w:r>
              <w:rPr>
                <w:rFonts w:ascii="Times New Roman" w:hAnsi="Times New Roman" w:cs="Times New Roman"/>
                <w:noProof/>
              </w:rPr>
              <w:t>The non-energy</w:t>
            </w:r>
            <w:r>
              <w:rPr>
                <w:rFonts w:ascii="Times New Roman" w:hAnsi="Times New Roman" w:cs="Times New Roman"/>
                <w:b/>
                <w:noProof/>
              </w:rPr>
              <w:t xml:space="preserve"> </w:t>
            </w:r>
            <w:r>
              <w:rPr>
                <w:rFonts w:ascii="Times New Roman" w:hAnsi="Times New Roman" w:cs="Times New Roman"/>
                <w:noProof/>
              </w:rPr>
              <w:t xml:space="preserve">goods' balance recorded an improvement in the aftermath of the financial crisis reflecting the relative </w:t>
            </w:r>
            <w:r>
              <w:rPr>
                <w:rFonts w:ascii="Times New Roman" w:hAnsi="Times New Roman" w:cs="Times New Roman"/>
                <w:noProof/>
              </w:rPr>
              <w:t xml:space="preserve">weak cyclical position of the euro area compared with other world areas and accounting for most of the current account improvement (Graph B.2). Consistently, over the same period, the euro-area cyclically-adjusted current account balance recorded a milder </w:t>
            </w:r>
            <w:r>
              <w:rPr>
                <w:rFonts w:ascii="Times New Roman" w:hAnsi="Times New Roman" w:cs="Times New Roman"/>
                <w:noProof/>
              </w:rPr>
              <w:t>improvement. Starting from 2013, in light of the euro area output recovery, the surplus of the goods' balance stabilised and started shrinking only very moderately, amid a robust performance of exports in value and volume as compared with other advanced ec</w:t>
            </w:r>
            <w:r>
              <w:rPr>
                <w:rFonts w:ascii="Times New Roman" w:hAnsi="Times New Roman" w:cs="Times New Roman"/>
                <w:noProof/>
              </w:rPr>
              <w:t>onomies.</w:t>
            </w:r>
            <w:r>
              <w:rPr>
                <w:rStyle w:val="FootnoteReference"/>
                <w:rFonts w:ascii="Times New Roman" w:hAnsi="Times New Roman" w:cs="Times New Roman"/>
                <w:noProof/>
              </w:rPr>
              <w:footnoteReference w:id="27"/>
            </w:r>
            <w:r>
              <w:rPr>
                <w:rFonts w:ascii="Times New Roman" w:hAnsi="Times New Roman" w:cs="Times New Roman"/>
                <w:noProof/>
              </w:rPr>
              <w:t xml:space="preserve"> The post-crisis behaviour of the energy balance was mainly driven by variations in oil prices. After a major fall in 2008, oil prices recovered between 2009 and 2011, and dropped again between 2014 and 2016, underpinning variations in the opposit</w:t>
            </w:r>
            <w:r>
              <w:rPr>
                <w:rFonts w:ascii="Times New Roman" w:hAnsi="Times New Roman" w:cs="Times New Roman"/>
                <w:noProof/>
              </w:rPr>
              <w:t>e direction in the euro-area energy balance. The recovery in oil prices started at mid-2016 is behind the deterioration in the energy balance recorded since then.</w:t>
            </w:r>
            <w:r>
              <w:rPr>
                <w:rStyle w:val="FootnoteReference"/>
                <w:rFonts w:ascii="Times New Roman" w:hAnsi="Times New Roman" w:cs="Times New Roman"/>
                <w:noProof/>
              </w:rPr>
              <w:footnoteReference w:id="28"/>
            </w:r>
            <w:r>
              <w:rPr>
                <w:rFonts w:ascii="Times New Roman" w:hAnsi="Times New Roman" w:cs="Times New Roman"/>
                <w:noProof/>
              </w:rPr>
              <w:t xml:space="preserve"> The negative contribution of the energy balance to the euro area surplus since 2016 was comp</w:t>
            </w:r>
            <w:r>
              <w:rPr>
                <w:rFonts w:ascii="Times New Roman" w:hAnsi="Times New Roman" w:cs="Times New Roman"/>
                <w:noProof/>
              </w:rPr>
              <w:t>ensated by an improvement in the services' balance. The income balance, despite the improving capital income balance associated with a positive and growing NIIP at euro-area aggregate level, remains in negative territory and has deteriorated in 2017 in lig</w:t>
            </w:r>
            <w:r>
              <w:rPr>
                <w:rFonts w:ascii="Times New Roman" w:hAnsi="Times New Roman" w:cs="Times New Roman"/>
                <w:noProof/>
              </w:rPr>
              <w:t xml:space="preserve">ht of dynamics recorded in net corporate income. </w:t>
            </w:r>
          </w:p>
          <w:p w:rsidR="007E447C" w:rsidRDefault="004D5789">
            <w:pPr>
              <w:spacing w:after="120"/>
              <w:jc w:val="both"/>
              <w:rPr>
                <w:rFonts w:ascii="Times New Roman" w:hAnsi="Times New Roman" w:cs="Times New Roman"/>
                <w:noProof/>
              </w:rPr>
            </w:pPr>
            <w:r>
              <w:rPr>
                <w:rFonts w:ascii="Times New Roman" w:hAnsi="Times New Roman" w:cs="Times New Roman"/>
                <w:b/>
                <w:noProof/>
              </w:rPr>
              <w:t xml:space="preserve">The dynamics of the euro-area surplus is linked to domestic demand lagging behind that of economic activity and sustained export demand, building on supportive global demand for European goods and services </w:t>
            </w:r>
            <w:r>
              <w:rPr>
                <w:rFonts w:ascii="Times New Roman" w:hAnsi="Times New Roman" w:cs="Times New Roman"/>
                <w:b/>
                <w:noProof/>
              </w:rPr>
              <w:t xml:space="preserve">and on an improved competitive position. </w:t>
            </w:r>
            <w:r>
              <w:rPr>
                <w:rFonts w:ascii="Times New Roman" w:hAnsi="Times New Roman" w:cs="Times New Roman"/>
                <w:noProof/>
              </w:rPr>
              <w:t xml:space="preserve">The difference between aggregate income and spending, which corresponds to net exports, has been widening since after the 2008 financial crisis until 2016 (see Graph B.3). At the onset of the crisis, subdued demand </w:t>
            </w:r>
            <w:r>
              <w:rPr>
                <w:rFonts w:ascii="Times New Roman" w:hAnsi="Times New Roman" w:cs="Times New Roman"/>
                <w:noProof/>
              </w:rPr>
              <w:t>dynamics reflected a large-scale private sector deleveraging process, notably in net-debtor countries concerned by current account sudden stops, while increased net borrowing by the government sector helped cushioning the impact of the crisis on incomes (G</w:t>
            </w:r>
            <w:r>
              <w:rPr>
                <w:rFonts w:ascii="Times New Roman" w:hAnsi="Times New Roman" w:cs="Times New Roman"/>
                <w:noProof/>
              </w:rPr>
              <w:t>raph B.4). After the aggravation of the euro-area debt crisis in 2011, deleveraging started also in the government sector, which has provided the largest contribution to the increase in the overall net lending position of the euro area since then. Net lend</w:t>
            </w:r>
            <w:r>
              <w:rPr>
                <w:rFonts w:ascii="Times New Roman" w:hAnsi="Times New Roman" w:cs="Times New Roman"/>
                <w:noProof/>
              </w:rPr>
              <w:t>ing figures for the household sector are currently twice larger compared with the pre-crisis period, and non-financial corporations, which normally record net borrowing needs, have been posting a positive net lending position since 2013. Government net len</w:t>
            </w:r>
            <w:r>
              <w:rPr>
                <w:rFonts w:ascii="Times New Roman" w:hAnsi="Times New Roman" w:cs="Times New Roman"/>
                <w:noProof/>
              </w:rPr>
              <w:t xml:space="preserve">ding remains in negative territory and has only </w:t>
            </w:r>
            <w:r>
              <w:rPr>
                <w:rFonts w:ascii="Times New Roman" w:hAnsi="Times New Roman" w:cs="Times New Roman"/>
                <w:noProof/>
              </w:rPr>
              <w:lastRenderedPageBreak/>
              <w:t>recently reached levels consistent with falling government debt ratios in most euro-area countries. Despite active deleveraging, the protracted stagnation of nominal GDP after the crisis implied that debt-GDP</w:t>
            </w:r>
            <w:r>
              <w:rPr>
                <w:rFonts w:ascii="Times New Roman" w:hAnsi="Times New Roman" w:cs="Times New Roman"/>
                <w:noProof/>
              </w:rPr>
              <w:t xml:space="preserve"> ratios remained historically high for households, corporations and governments in a number of euro-area countries. Deleveraging is currently taking place amid favourable economic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7E447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b/>
                      <w:noProof/>
                    </w:rPr>
                  </w:pPr>
                  <w:r>
                    <w:rPr>
                      <w:rFonts w:ascii="Times New Roman" w:hAnsi="Times New Roman" w:cs="Times New Roman"/>
                      <w:b/>
                      <w:noProof/>
                    </w:rPr>
                    <w:t>Graph B.3: Euro-area output, domestic demand, net exports and co</w:t>
                  </w:r>
                  <w:r>
                    <w:rPr>
                      <w:rFonts w:ascii="Times New Roman" w:hAnsi="Times New Roman" w:cs="Times New Roman"/>
                      <w:b/>
                      <w:noProof/>
                    </w:rPr>
                    <w:t>re inflation</w:t>
                  </w:r>
                </w:p>
              </w:t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b/>
                      <w:noProof/>
                    </w:rPr>
                  </w:pPr>
                  <w:r>
                    <w:rPr>
                      <w:rFonts w:ascii="Times New Roman" w:hAnsi="Times New Roman" w:cs="Times New Roman"/>
                      <w:b/>
                      <w:noProof/>
                    </w:rPr>
                    <w:t xml:space="preserve">Graph B.4: Euro-area net lending/borrowing by sector </w:t>
                  </w:r>
                </w:p>
              </w:tc>
            </w:tr>
            <w:tr w:rsidR="007E447C">
              <w:trPr>
                <w:trHeight w:val="3406"/>
              </w:trPr>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8120" cy="248412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8120" cy="248412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38171" cy="2484038"/>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8120" cy="2483992"/>
                                </a:xfrm>
                                <a:prstGeom prst="rect">
                                  <a:avLst/>
                                </a:prstGeom>
                                <a:noFill/>
                                <a:ln>
                                  <a:noFill/>
                                </a:ln>
                              </pic:spPr>
                            </pic:pic>
                          </a:graphicData>
                        </a:graphic>
                      </wp:inline>
                    </w:drawing>
                  </w:r>
                </w:p>
              </w:tc>
            </w:tr>
            <w:tr w:rsidR="007E447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w:t>
                  </w:r>
                </w:p>
              </w:tc>
              <w:tc>
                <w:tcPr>
                  <w:tcW w:w="4531" w:type="dxa"/>
                  <w:tcBorders>
                    <w:top w:val="nil"/>
                    <w:left w:val="nil"/>
                    <w:bottom w:val="nil"/>
                    <w:right w:val="nil"/>
                  </w:tcBorders>
                  <w:shd w:val="clear" w:color="auto" w:fill="auto"/>
                </w:tcPr>
                <w:p w:rsidR="007E447C" w:rsidRDefault="004D5789">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Eurostat</w:t>
                  </w:r>
                </w:p>
              </w:tc>
            </w:tr>
          </w:tbl>
          <w:p w:rsidR="007E447C" w:rsidRDefault="007E447C">
            <w:pPr>
              <w:spacing w:after="120"/>
              <w:jc w:val="both"/>
              <w:rPr>
                <w:rFonts w:ascii="Times New Roman" w:hAnsi="Times New Roman" w:cs="Times New Roman"/>
                <w:b/>
                <w:noProof/>
              </w:rPr>
            </w:pPr>
          </w:p>
          <w:p w:rsidR="007E447C" w:rsidRDefault="004D5789">
            <w:pPr>
              <w:spacing w:after="120"/>
              <w:jc w:val="both"/>
              <w:rPr>
                <w:rFonts w:ascii="Times New Roman" w:hAnsi="Times New Roman" w:cs="Times New Roman"/>
                <w:noProof/>
              </w:rPr>
            </w:pPr>
            <w:r>
              <w:rPr>
                <w:rFonts w:ascii="Times New Roman" w:hAnsi="Times New Roman" w:cs="Times New Roman"/>
                <w:b/>
                <w:noProof/>
              </w:rPr>
              <w:t xml:space="preserve">Challenges remain linked to the persistence of stock imbalances, the durability of the current economic expansion, and the limited room for cushioning negative shocks in high-debt countries. </w:t>
            </w:r>
            <w:r>
              <w:rPr>
                <w:rFonts w:ascii="Times New Roman" w:hAnsi="Times New Roman" w:cs="Times New Roman"/>
                <w:noProof/>
              </w:rPr>
              <w:t>After almost a decade of sluggish dynamics, euro-area domestic de</w:t>
            </w:r>
            <w:r>
              <w:rPr>
                <w:rFonts w:ascii="Times New Roman" w:hAnsi="Times New Roman" w:cs="Times New Roman"/>
                <w:noProof/>
              </w:rPr>
              <w:t>mand is recovering, the output gap is moving into positive territory, and inflation is expected to gradually approach the target of monetary authorities (Graph B.3). The ongoing expansion is supporting the correction of stock imbalances but a number of cha</w:t>
            </w:r>
            <w:r>
              <w:rPr>
                <w:rFonts w:ascii="Times New Roman" w:hAnsi="Times New Roman" w:cs="Times New Roman"/>
                <w:noProof/>
              </w:rPr>
              <w:t>llenges loom ahead. First, there is uncertainty on the durability of the current expansion, as the conditions for ensuring growth on a sustainable basis are not always in place, notably linked to persistent investment gaps, insufficient framework condition</w:t>
            </w:r>
            <w:r>
              <w:rPr>
                <w:rFonts w:ascii="Times New Roman" w:hAnsi="Times New Roman" w:cs="Times New Roman"/>
                <w:noProof/>
              </w:rPr>
              <w:t>s to stimulate productivity growth, and unused human capital potential.</w:t>
            </w:r>
            <w:r>
              <w:rPr>
                <w:rStyle w:val="FootnoteReference"/>
                <w:rFonts w:ascii="Times New Roman" w:hAnsi="Times New Roman" w:cs="Times New Roman"/>
                <w:noProof/>
              </w:rPr>
              <w:footnoteReference w:id="29"/>
            </w:r>
            <w:r>
              <w:rPr>
                <w:rFonts w:ascii="Times New Roman" w:hAnsi="Times New Roman" w:cs="Times New Roman"/>
                <w:noProof/>
              </w:rPr>
              <w:t xml:space="preserve"> Second, rebalancing within the euro area is still incomplete. Countries with a past of large deficits remain characterised by large negative net international investment positions cou</w:t>
            </w:r>
            <w:r>
              <w:rPr>
                <w:rFonts w:ascii="Times New Roman" w:hAnsi="Times New Roman" w:cs="Times New Roman"/>
                <w:noProof/>
              </w:rPr>
              <w:t>pled with large stocks of private or government debt that represent vulnerabilities. Moreover, the same countries that are burdened by high debt are generally also those with relatively smaller room for relying on potential output growth for a reduction in</w:t>
            </w:r>
            <w:r>
              <w:rPr>
                <w:rFonts w:ascii="Times New Roman" w:hAnsi="Times New Roman" w:cs="Times New Roman"/>
                <w:noProof/>
              </w:rPr>
              <w:t xml:space="preserve"> the debt ratios, meaning that the room for private and public savings to cushion negative output shocks is likely to be limited (Graph B.6). </w:t>
            </w:r>
          </w:p>
          <w:p w:rsidR="007E447C" w:rsidRDefault="004D5789">
            <w:pPr>
              <w:spacing w:after="120"/>
              <w:jc w:val="both"/>
              <w:rPr>
                <w:rFonts w:ascii="Times New Roman" w:hAnsi="Times New Roman" w:cs="Times New Roman"/>
                <w:noProof/>
              </w:rPr>
            </w:pPr>
            <w:r>
              <w:rPr>
                <w:rFonts w:ascii="Times New Roman" w:hAnsi="Times New Roman" w:cs="Times New Roman"/>
                <w:b/>
                <w:noProof/>
              </w:rPr>
              <w:t>Symmetric rebalancing in the euro area would help restoring sustainable growth while ensuring macroeconomic stabi</w:t>
            </w:r>
            <w:r>
              <w:rPr>
                <w:rFonts w:ascii="Times New Roman" w:hAnsi="Times New Roman" w:cs="Times New Roman"/>
                <w:b/>
                <w:noProof/>
              </w:rPr>
              <w:t>lity looking forward</w:t>
            </w:r>
            <w:r>
              <w:rPr>
                <w:rFonts w:ascii="Times New Roman" w:hAnsi="Times New Roman" w:cs="Times New Roman"/>
                <w:noProof/>
              </w:rPr>
              <w:t>. An appropriate combination of policies is needed to make sure that growth is sustainable going forward, and compatible with macroeconomic stability. In net-debtor countries, running down large stocks of foreign and domestic debt requi</w:t>
            </w:r>
            <w:r>
              <w:rPr>
                <w:rFonts w:ascii="Times New Roman" w:hAnsi="Times New Roman" w:cs="Times New Roman"/>
                <w:noProof/>
              </w:rPr>
              <w:t>res maintaining prudent current account balances and ensuring an appropriate pace of debt reduction while keeping the objective of raising the growth potential via appropriate investment and reforms and avoiding the risk of pro-cyclical tightening in bad t</w:t>
            </w:r>
            <w:r>
              <w:rPr>
                <w:rFonts w:ascii="Times New Roman" w:hAnsi="Times New Roman" w:cs="Times New Roman"/>
                <w:noProof/>
              </w:rPr>
              <w:t>imes. Enhancing productivity prospects is particularly needed in net-debtor countries both for the sustainability of debt stocks and to make relative competitiveness developments more supportive of rebalancing, in a context in which the relative competitiv</w:t>
            </w:r>
            <w:r>
              <w:rPr>
                <w:rFonts w:ascii="Times New Roman" w:hAnsi="Times New Roman" w:cs="Times New Roman"/>
                <w:noProof/>
              </w:rPr>
              <w:t>eness gains of net-debtor countries that started in 2012 have recently been narrowing (Graph B.5). Conversely, policies to foster investment and overcome wage inertia would help addressing persistent large surpluses in net-creditor countries while contribu</w:t>
            </w:r>
            <w:r>
              <w:rPr>
                <w:rFonts w:ascii="Times New Roman" w:hAnsi="Times New Roman" w:cs="Times New Roman"/>
                <w:noProof/>
              </w:rPr>
              <w:t>ting to support the growth potential and to make growth prospects less dependent upon foreign demand.</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429"/>
              <w:gridCol w:w="249"/>
            </w:tblGrid>
            <w:tr w:rsidR="007E447C">
              <w:tc>
                <w:tcPr>
                  <w:tcW w:w="4536" w:type="dxa"/>
                </w:tcPr>
                <w:p w:rsidR="007E447C" w:rsidRDefault="004D5789">
                  <w:pPr>
                    <w:spacing w:after="200"/>
                    <w:jc w:val="both"/>
                    <w:rPr>
                      <w:rFonts w:ascii="Times New Roman" w:hAnsi="Times New Roman" w:cs="Times New Roman"/>
                      <w:b/>
                      <w:noProof/>
                    </w:rPr>
                  </w:pPr>
                  <w:r>
                    <w:rPr>
                      <w:rFonts w:ascii="Times New Roman" w:hAnsi="Times New Roman" w:cs="Times New Roman"/>
                      <w:b/>
                      <w:noProof/>
                    </w:rPr>
                    <w:t>Graph B.5: Rebalancing across the EA (unemployment, wage and ULC growth)</w:t>
                  </w:r>
                </w:p>
              </w:tc>
              <w:tc>
                <w:tcPr>
                  <w:tcW w:w="4429" w:type="dxa"/>
                </w:tcPr>
                <w:p w:rsidR="007E447C" w:rsidRDefault="004D5789">
                  <w:pPr>
                    <w:jc w:val="both"/>
                    <w:rPr>
                      <w:rFonts w:ascii="Times New Roman" w:hAnsi="Times New Roman" w:cs="Times New Roman"/>
                      <w:b/>
                      <w:noProof/>
                    </w:rPr>
                  </w:pPr>
                  <w:r>
                    <w:rPr>
                      <w:rFonts w:ascii="Times New Roman" w:hAnsi="Times New Roman" w:cs="Times New Roman"/>
                      <w:b/>
                      <w:noProof/>
                    </w:rPr>
                    <w:t>Graph B.6: Debt and potential growth prospects across euro-area countries</w:t>
                  </w:r>
                </w:p>
              </w:tc>
              <w:tc>
                <w:tcPr>
                  <w:tcW w:w="249" w:type="dxa"/>
                </w:tcPr>
                <w:p w:rsidR="007E447C" w:rsidRDefault="007E447C">
                  <w:pPr>
                    <w:spacing w:after="200"/>
                    <w:jc w:val="both"/>
                    <w:rPr>
                      <w:rFonts w:ascii="Times New Roman" w:hAnsi="Times New Roman" w:cs="Times New Roman"/>
                      <w:b/>
                      <w:noProof/>
                    </w:rPr>
                  </w:pPr>
                </w:p>
              </w:tc>
            </w:tr>
            <w:tr w:rsidR="007E447C">
              <w:tc>
                <w:tcPr>
                  <w:tcW w:w="4536" w:type="dxa"/>
                </w:tcPr>
                <w:tbl>
                  <w:tblPr>
                    <w:tblStyle w:val="TableGrid"/>
                    <w:tblW w:w="4423" w:type="dxa"/>
                    <w:tblLayout w:type="fixed"/>
                    <w:tblLook w:val="04A0" w:firstRow="1" w:lastRow="0" w:firstColumn="1" w:lastColumn="0" w:noHBand="0" w:noVBand="1"/>
                  </w:tblPr>
                  <w:tblGrid>
                    <w:gridCol w:w="4423"/>
                  </w:tblGrid>
                  <w:tr w:rsidR="007E447C">
                    <w:tc>
                      <w:tcPr>
                        <w:tcW w:w="4423" w:type="dxa"/>
                        <w:tcBorders>
                          <w:top w:val="nil"/>
                          <w:left w:val="nil"/>
                          <w:bottom w:val="nil"/>
                          <w:right w:val="nil"/>
                        </w:tcBorders>
                      </w:tcPr>
                      <w:p w:rsidR="007E447C" w:rsidRDefault="004D5789">
                        <w:pPr>
                          <w:ind w:right="113"/>
                          <w:rPr>
                            <w:noProof/>
                          </w:rPr>
                        </w:pPr>
                        <w:r>
                          <w:rPr>
                            <w:noProof/>
                            <w:lang w:eastAsia="en-GB"/>
                          </w:rPr>
                          <w:drawing>
                            <wp:inline distT="0" distB="0" distL="0" distR="0">
                              <wp:extent cx="2667000" cy="2367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367915"/>
                                      </a:xfrm>
                                      <a:prstGeom prst="rect">
                                        <a:avLst/>
                                      </a:prstGeom>
                                      <a:noFill/>
                                      <a:ln>
                                        <a:noFill/>
                                      </a:ln>
                                    </pic:spPr>
                                  </pic:pic>
                                </a:graphicData>
                              </a:graphic>
                            </wp:inline>
                          </w:drawing>
                        </w:r>
                      </w:p>
                    </w:tc>
                  </w:tr>
                </w:tbl>
                <w:p w:rsidR="007E447C" w:rsidRDefault="007E447C">
                  <w:pPr>
                    <w:spacing w:after="200"/>
                    <w:jc w:val="both"/>
                    <w:rPr>
                      <w:rFonts w:ascii="Times New Roman" w:hAnsi="Times New Roman" w:cs="Times New Roman"/>
                      <w:noProof/>
                    </w:rPr>
                  </w:pPr>
                </w:p>
              </w:tc>
              <w:tc>
                <w:tcPr>
                  <w:tcW w:w="4429" w:type="dxa"/>
                </w:tcPr>
                <w:p w:rsidR="007E447C" w:rsidRDefault="004D5789">
                  <w:pPr>
                    <w:spacing w:after="200" w:line="276" w:lineRule="auto"/>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672715" cy="23736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2715" cy="2373630"/>
                                </a:xfrm>
                                <a:prstGeom prst="rect">
                                  <a:avLst/>
                                </a:prstGeom>
                                <a:noFill/>
                                <a:ln>
                                  <a:noFill/>
                                </a:ln>
                              </pic:spPr>
                            </pic:pic>
                          </a:graphicData>
                        </a:graphic>
                      </wp:inline>
                    </w:drawing>
                  </w:r>
                </w:p>
              </w:tc>
              <w:tc>
                <w:tcPr>
                  <w:tcW w:w="249" w:type="dxa"/>
                </w:tcPr>
                <w:p w:rsidR="007E447C" w:rsidRDefault="007E447C">
                  <w:pPr>
                    <w:spacing w:after="200"/>
                    <w:jc w:val="both"/>
                    <w:rPr>
                      <w:rFonts w:ascii="Times New Roman" w:hAnsi="Times New Roman" w:cs="Times New Roman"/>
                      <w:noProof/>
                    </w:rPr>
                  </w:pPr>
                </w:p>
              </w:tc>
            </w:tr>
            <w:tr w:rsidR="007E447C">
              <w:trPr>
                <w:gridAfter w:val="1"/>
                <w:wAfter w:w="249" w:type="dxa"/>
              </w:trPr>
              <w:tc>
                <w:tcPr>
                  <w:tcW w:w="4536" w:type="dxa"/>
                </w:tcPr>
                <w:p w:rsidR="007E447C" w:rsidRDefault="004D5789">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w:t>
                  </w:r>
                </w:p>
                <w:p w:rsidR="007E447C" w:rsidRDefault="004D5789">
                  <w:pPr>
                    <w:jc w:val="both"/>
                    <w:rPr>
                      <w:rFonts w:ascii="Times New Roman" w:hAnsi="Times New Roman" w:cs="Times New Roman"/>
                      <w:noProof/>
                      <w:sz w:val="20"/>
                    </w:rPr>
                  </w:pPr>
                  <w:r>
                    <w:rPr>
                      <w:rFonts w:ascii="Times New Roman" w:hAnsi="Times New Roman" w:cs="Times New Roman"/>
                      <w:i/>
                      <w:noProof/>
                      <w:sz w:val="20"/>
                    </w:rPr>
                    <w:t>Note:</w:t>
                  </w:r>
                  <w:r>
                    <w:rPr>
                      <w:rFonts w:ascii="Times New Roman" w:hAnsi="Times New Roman" w:cs="Times New Roman"/>
                      <w:noProof/>
                      <w:sz w:val="20"/>
                    </w:rPr>
                    <w:t xml:space="preserve"> "Surplus" countries include Austria, Belgium, Finland, Germany, Luxembourg, and the Netherlands; all the other current euro area members are considered as "deficit" countries. </w:t>
                  </w:r>
                </w:p>
              </w:tc>
              <w:tc>
                <w:tcPr>
                  <w:tcW w:w="4429" w:type="dxa"/>
                </w:tcPr>
                <w:p w:rsidR="007E447C" w:rsidRDefault="004D5789">
                  <w:pPr>
                    <w:jc w:val="both"/>
                    <w:rPr>
                      <w:rFonts w:ascii="Times New Roman" w:hAnsi="Times New Roman" w:cs="Times New Roman"/>
                      <w:noProof/>
                      <w:sz w:val="20"/>
                    </w:rPr>
                  </w:pPr>
                  <w:r>
                    <w:rPr>
                      <w:rFonts w:ascii="Times New Roman" w:hAnsi="Times New Roman" w:cs="Times New Roman"/>
                      <w:i/>
                      <w:noProof/>
                      <w:sz w:val="20"/>
                    </w:rPr>
                    <w:t>Source:</w:t>
                  </w:r>
                  <w:r>
                    <w:rPr>
                      <w:rFonts w:ascii="Times New Roman" w:hAnsi="Times New Roman" w:cs="Times New Roman"/>
                      <w:noProof/>
                      <w:sz w:val="20"/>
                    </w:rPr>
                    <w:t xml:space="preserve"> AMECO</w:t>
                  </w:r>
                  <w:r>
                    <w:rPr>
                      <w:rFonts w:ascii="Times New Roman" w:hAnsi="Times New Roman" w:cs="Times New Roman"/>
                      <w:noProof/>
                    </w:rPr>
                    <w:t xml:space="preserve"> </w:t>
                  </w:r>
                </w:p>
                <w:p w:rsidR="007E447C" w:rsidRDefault="004D5789">
                  <w:pPr>
                    <w:jc w:val="both"/>
                    <w:rPr>
                      <w:rFonts w:ascii="Times New Roman" w:hAnsi="Times New Roman" w:cs="Times New Roman"/>
                      <w:noProof/>
                      <w:sz w:val="20"/>
                    </w:rPr>
                  </w:pPr>
                  <w:r>
                    <w:rPr>
                      <w:rFonts w:ascii="Times New Roman" w:hAnsi="Times New Roman" w:cs="Times New Roman"/>
                      <w:i/>
                      <w:noProof/>
                      <w:sz w:val="20"/>
                    </w:rPr>
                    <w:t>Note:</w:t>
                  </w:r>
                  <w:r>
                    <w:rPr>
                      <w:rFonts w:ascii="Times New Roman" w:hAnsi="Times New Roman" w:cs="Times New Roman"/>
                      <w:noProof/>
                      <w:sz w:val="20"/>
                    </w:rPr>
                    <w:t xml:space="preserve"> the size of the bubbles represents the value of the government debt (% GDP) in 2017</w:t>
                  </w:r>
                </w:p>
              </w:tc>
            </w:tr>
          </w:tbl>
          <w:p w:rsidR="007E447C" w:rsidRDefault="007E447C">
            <w:pPr>
              <w:jc w:val="both"/>
              <w:rPr>
                <w:rFonts w:ascii="Times New Roman" w:hAnsi="Times New Roman" w:cs="Times New Roman"/>
                <w:b/>
                <w:noProof/>
              </w:rPr>
            </w:pPr>
          </w:p>
        </w:tc>
      </w:tr>
    </w:tbl>
    <w:p w:rsidR="007E447C" w:rsidRDefault="007E447C">
      <w:pPr>
        <w:rPr>
          <w:rFonts w:ascii="Times New Roman" w:eastAsia="Times New Roman" w:hAnsi="Times New Roman" w:cs="Times New Roman"/>
          <w:b/>
          <w:noProof/>
          <w:lang w:eastAsia="en-GB"/>
        </w:rPr>
      </w:pPr>
    </w:p>
    <w:p w:rsidR="007E447C" w:rsidRDefault="004D5789">
      <w:pP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br w:type="page"/>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Private sector debt ratios are gradually falling, but remain elevated in a number of Member States.</w:t>
      </w:r>
      <w:r>
        <w:rPr>
          <w:rFonts w:ascii="Times New Roman" w:eastAsia="Times New Roman" w:hAnsi="Times New Roman" w:cs="Times New Roman"/>
          <w:noProof/>
          <w:lang w:eastAsia="en-GB"/>
        </w:rPr>
        <w:t xml:space="preserve"> Twelve Member States exceeded the scoreboard threshold for private debt in 2017, the same set of countries as in last year's AMR. Private debt ratios are highest in Cyprus, Ireland, Luxembourg, and the Netherlands, although their figures are influenced by</w:t>
      </w:r>
      <w:r>
        <w:rPr>
          <w:rFonts w:ascii="Times New Roman" w:eastAsia="Times New Roman" w:hAnsi="Times New Roman" w:cs="Times New Roman"/>
          <w:noProof/>
          <w:lang w:eastAsia="en-GB"/>
        </w:rPr>
        <w:t xml:space="preserve"> cross-border transactions linked with the activity of multinational corporations. Particularly high levels of private debt are recorded also in Belgium, Denmark, Portugal, Sweden, and the United Kingdom, with stocks of private debt in excess of 160% of GD</w:t>
      </w:r>
      <w:r>
        <w:rPr>
          <w:rFonts w:ascii="Times New Roman" w:eastAsia="Times New Roman" w:hAnsi="Times New Roman" w:cs="Times New Roman"/>
          <w:noProof/>
          <w:lang w:eastAsia="en-GB"/>
        </w:rPr>
        <w:t>P. The relative contribution of households and non-financial firms to high private debt levels varies across Member States.</w:t>
      </w:r>
      <w:r>
        <w:rPr>
          <w:rFonts w:ascii="Times New Roman" w:eastAsia="Times New Roman" w:hAnsi="Times New Roman" w:cs="Times New Roman"/>
          <w:b/>
          <w:noProof/>
          <w:lang w:eastAsia="en-GB"/>
        </w:rPr>
        <w:t xml:space="preserve"> </w:t>
      </w:r>
      <w:r>
        <w:rPr>
          <w:rFonts w:ascii="Times New Roman" w:eastAsia="Times New Roman" w:hAnsi="Times New Roman" w:cs="Times New Roman"/>
          <w:noProof/>
          <w:lang w:eastAsia="en-GB"/>
        </w:rPr>
        <w:t>In the case of Belgium, Ireland, and Luxembourg, high overall private debt ratios are mainly accounted for by the indebtedness of no</w:t>
      </w:r>
      <w:r>
        <w:rPr>
          <w:rFonts w:ascii="Times New Roman" w:eastAsia="Times New Roman" w:hAnsi="Times New Roman" w:cs="Times New Roman"/>
          <w:noProof/>
          <w:lang w:eastAsia="en-GB"/>
        </w:rPr>
        <w:t>n-financial corporations (NFCs). Conversely, in Denmark and the United Kingdom, the household sector is driving the large stocks of private debt. Cyprus, the Netherlands, Sweden and Portugal experience comparatively high debt levels in both the corporate a</w:t>
      </w:r>
      <w:r>
        <w:rPr>
          <w:rFonts w:ascii="Times New Roman" w:eastAsia="Times New Roman" w:hAnsi="Times New Roman" w:cs="Times New Roman"/>
          <w:noProof/>
          <w:lang w:eastAsia="en-GB"/>
        </w:rPr>
        <w:t xml:space="preserve">nd household sectors. </w:t>
      </w:r>
      <w:r>
        <w:rPr>
          <w:noProof/>
        </w:rPr>
        <w:t>Differences in the stock of private debt across countries are, to a large extent, explained by differences in fundamental factors justifying the accumulation of debt, including prospects for growth and investment, and financial develo</w:t>
      </w:r>
      <w:r>
        <w:rPr>
          <w:noProof/>
        </w:rPr>
        <w:t>pment. An assessment of debt levels should thereby take into account those factors, as well as other elements affecting risks posed by high debt from a forward-looking perspective.</w:t>
      </w:r>
      <w:r>
        <w:rPr>
          <w:rStyle w:val="FootnoteReference"/>
          <w:noProof/>
        </w:rPr>
        <w:footnoteReference w:id="30"/>
      </w:r>
    </w:p>
    <w:p w:rsidR="007E447C" w:rsidRDefault="007E447C">
      <w:pPr>
        <w:keepNext/>
        <w:spacing w:before="120" w:after="120"/>
        <w:jc w:val="center"/>
        <w:rPr>
          <w:rFonts w:ascii="Times New Roman" w:eastAsia="MS Mincho" w:hAnsi="Times New Roman" w:cs="Times New Roman"/>
          <w:b/>
          <w:bCs/>
          <w:noProof/>
          <w:lang w:eastAsia="ja-JP"/>
        </w:rPr>
      </w:pPr>
    </w:p>
    <w:p w:rsidR="007E447C" w:rsidRDefault="004D5789">
      <w:pPr>
        <w:keepNext/>
        <w:spacing w:before="120" w:after="120"/>
        <w:jc w:val="center"/>
        <w:rPr>
          <w:rFonts w:ascii="Times New Roman" w:eastAsia="MS Mincho" w:hAnsi="Times New Roman" w:cs="Times New Roman"/>
          <w:b/>
          <w:bCs/>
          <w:noProof/>
          <w:lang w:eastAsia="ja-JP"/>
        </w:rPr>
      </w:pPr>
      <w:bookmarkStart w:id="25" w:name="_Ref525674682"/>
      <w:r>
        <w:rPr>
          <w:rFonts w:ascii="Times New Roman" w:eastAsia="MS Mincho" w:hAnsi="Times New Roman" w:cs="Times New Roman"/>
          <w:b/>
          <w:bCs/>
          <w:noProof/>
          <w:lang w:eastAsia="ja-JP"/>
        </w:rPr>
        <w:t>Graph 11</w:t>
      </w:r>
      <w:bookmarkEnd w:id="25"/>
      <w:r>
        <w:rPr>
          <w:rFonts w:ascii="Times New Roman" w:eastAsia="MS Mincho" w:hAnsi="Times New Roman" w:cs="Times New Roman"/>
          <w:b/>
          <w:bCs/>
          <w:noProof/>
          <w:lang w:eastAsia="ja-JP"/>
        </w:rPr>
        <w:t>: Pace of deleveraging of non-financial corporations</w:t>
      </w:r>
    </w:p>
    <w:p w:rsidR="007E447C" w:rsidRDefault="004D5789">
      <w:pPr>
        <w:keepNext/>
        <w:spacing w:after="0"/>
        <w:jc w:val="center"/>
        <w:rPr>
          <w:rFonts w:ascii="Times New Roman" w:eastAsia="MS Mincho" w:hAnsi="Times New Roman" w:cs="Times New Roman"/>
          <w:b/>
          <w:bCs/>
          <w:noProof/>
          <w:lang w:eastAsia="ja-JP"/>
        </w:rPr>
      </w:pPr>
      <w:bookmarkStart w:id="26" w:name="nfcdelev"/>
      <w:r>
        <w:rPr>
          <w:rFonts w:ascii="Times New Roman" w:eastAsia="MS Mincho" w:hAnsi="Times New Roman" w:cs="Times New Roman"/>
          <w:b/>
          <w:bCs/>
          <w:noProof/>
          <w:lang w:eastAsia="en-GB"/>
        </w:rPr>
        <w:drawing>
          <wp:inline distT="0" distB="0" distL="0" distR="0">
            <wp:extent cx="5219700" cy="305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3054350"/>
                    </a:xfrm>
                    <a:prstGeom prst="rect">
                      <a:avLst/>
                    </a:prstGeom>
                    <a:noFill/>
                    <a:ln>
                      <a:noFill/>
                    </a:ln>
                  </pic:spPr>
                </pic:pic>
              </a:graphicData>
            </a:graphic>
          </wp:inline>
        </w:drawing>
      </w:r>
      <w:bookmarkEnd w:id="26"/>
    </w:p>
    <w:p w:rsidR="007E447C" w:rsidRDefault="004D5789">
      <w:pPr>
        <w:keepNext/>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Eu</w:t>
      </w:r>
      <w:r>
        <w:rPr>
          <w:rFonts w:ascii="Times New Roman" w:eastAsia="Times New Roman" w:hAnsi="Times New Roman" w:cs="Times New Roman"/>
          <w:noProof/>
          <w:sz w:val="20"/>
          <w:szCs w:val="20"/>
          <w:lang w:eastAsia="en-GB"/>
        </w:rPr>
        <w:t>rostat consolidated annual sectoral accounts, Commission services calculations.</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xml:space="preserve"> Countries are presented in decreasing order of the debt-to-GDP ratio in 2017. Numbers below the country codes indicate the peak year. The increase to peak was calculated </w:t>
      </w:r>
      <w:r>
        <w:rPr>
          <w:rFonts w:ascii="Times New Roman" w:eastAsia="Times New Roman" w:hAnsi="Times New Roman" w:cs="Times New Roman"/>
          <w:noProof/>
          <w:sz w:val="20"/>
          <w:szCs w:val="20"/>
          <w:lang w:eastAsia="en-GB"/>
        </w:rPr>
        <w:t>based on an initial year other than 2000 for the cases of Croatia and Ireland (2001) and Cyprus (2006). Observations for LU, IE, BE have been truncated to fit the scale.</w:t>
      </w:r>
    </w:p>
    <w:p w:rsidR="007E447C" w:rsidRDefault="004D5789">
      <w:pPr>
        <w:keepNext/>
        <w:spacing w:before="120" w:after="120"/>
        <w:jc w:val="center"/>
        <w:rPr>
          <w:rFonts w:ascii="Times New Roman" w:eastAsia="MS Mincho" w:hAnsi="Times New Roman" w:cs="Times New Roman"/>
          <w:b/>
          <w:bCs/>
          <w:noProof/>
          <w:lang w:eastAsia="ja-JP"/>
        </w:rPr>
      </w:pPr>
      <w:bookmarkStart w:id="27" w:name="_Ref525674692"/>
      <w:r>
        <w:rPr>
          <w:rFonts w:ascii="Times New Roman" w:eastAsia="MS Mincho" w:hAnsi="Times New Roman" w:cs="Times New Roman"/>
          <w:b/>
          <w:bCs/>
          <w:noProof/>
          <w:lang w:eastAsia="ja-JP"/>
        </w:rPr>
        <w:t xml:space="preserve">Graph </w:t>
      </w:r>
      <w:bookmarkEnd w:id="27"/>
      <w:r>
        <w:rPr>
          <w:rFonts w:ascii="Times New Roman" w:eastAsia="MS Mincho" w:hAnsi="Times New Roman" w:cs="Times New Roman"/>
          <w:b/>
          <w:bCs/>
          <w:noProof/>
          <w:lang w:eastAsia="ja-JP"/>
        </w:rPr>
        <w:t>12: Pace of household deleveraging</w:t>
      </w:r>
    </w:p>
    <w:p w:rsidR="007E447C" w:rsidRDefault="004D5789">
      <w:pPr>
        <w:keepNext/>
        <w:spacing w:before="120" w:after="120"/>
        <w:jc w:val="center"/>
        <w:rPr>
          <w:rFonts w:ascii="Times New Roman" w:eastAsia="MS Mincho" w:hAnsi="Times New Roman" w:cs="Times New Roman"/>
          <w:b/>
          <w:bCs/>
          <w:noProof/>
          <w:lang w:eastAsia="ja-JP"/>
        </w:rPr>
      </w:pPr>
      <w:bookmarkStart w:id="28" w:name="hhdelev"/>
      <w:r>
        <w:rPr>
          <w:rFonts w:ascii="Times New Roman" w:eastAsia="MS Mincho" w:hAnsi="Times New Roman" w:cs="Times New Roman"/>
          <w:b/>
          <w:bCs/>
          <w:noProof/>
          <w:lang w:eastAsia="en-GB"/>
        </w:rPr>
        <w:drawing>
          <wp:inline distT="0" distB="0" distL="0" distR="0">
            <wp:extent cx="5219700" cy="305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3054350"/>
                    </a:xfrm>
                    <a:prstGeom prst="rect">
                      <a:avLst/>
                    </a:prstGeom>
                    <a:noFill/>
                    <a:ln>
                      <a:noFill/>
                    </a:ln>
                  </pic:spPr>
                </pic:pic>
              </a:graphicData>
            </a:graphic>
          </wp:inline>
        </w:drawing>
      </w:r>
      <w:bookmarkEnd w:id="28"/>
    </w:p>
    <w:p w:rsidR="007E447C" w:rsidRDefault="004D5789">
      <w:pPr>
        <w:keepNext/>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w:t>
      </w:r>
      <w:r>
        <w:rPr>
          <w:rFonts w:ascii="Times New Roman" w:eastAsia="Times New Roman" w:hAnsi="Times New Roman" w:cs="Times New Roman"/>
          <w:noProof/>
          <w:sz w:val="20"/>
          <w:szCs w:val="20"/>
          <w:lang w:eastAsia="en-GB"/>
        </w:rPr>
        <w:t xml:space="preserve"> Eurostat consolidated annual sectoral accounts, Commission services calculations.</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w:t>
      </w:r>
      <w:r>
        <w:rPr>
          <w:rFonts w:ascii="Times New Roman" w:eastAsia="Times New Roman" w:hAnsi="Times New Roman" w:cs="Times New Roman"/>
          <w:noProof/>
          <w:sz w:val="20"/>
          <w:szCs w:val="20"/>
          <w:lang w:eastAsia="en-GB"/>
        </w:rPr>
        <w:t xml:space="preserve"> Countries are presented in decreasing order of the debt-to-GDP ratio in 2017. Numbers below the country codes indicate the peak year. The increase to peak was calculat</w:t>
      </w:r>
      <w:r>
        <w:rPr>
          <w:rFonts w:ascii="Times New Roman" w:eastAsia="Times New Roman" w:hAnsi="Times New Roman" w:cs="Times New Roman"/>
          <w:noProof/>
          <w:sz w:val="20"/>
          <w:szCs w:val="20"/>
          <w:lang w:eastAsia="en-GB"/>
        </w:rPr>
        <w:t xml:space="preserve">ed based on an initial year other than 2000 for the cases of Croatia and Ireland (2001). </w:t>
      </w:r>
    </w:p>
    <w:p w:rsidR="007E447C" w:rsidRDefault="007E447C">
      <w:pPr>
        <w:spacing w:before="120" w:after="120"/>
        <w:jc w:val="both"/>
        <w:rPr>
          <w:rFonts w:ascii="Times New Roman" w:eastAsia="Times New Roman" w:hAnsi="Times New Roman" w:cs="Times New Roman"/>
          <w:b/>
          <w:noProof/>
          <w:sz w:val="24"/>
          <w:szCs w:val="24"/>
          <w:lang w:eastAsia="en-GB"/>
        </w:rPr>
      </w:pP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Private debt-GDP ratios are receding from the peak in most Member States, at a pace that is not always in line with deleveraging needs</w:t>
      </w:r>
      <w:r>
        <w:rPr>
          <w:rFonts w:ascii="Times New Roman" w:eastAsia="Times New Roman" w:hAnsi="Times New Roman" w:cs="Times New Roman"/>
          <w:noProof/>
          <w:lang w:eastAsia="en-GB"/>
        </w:rPr>
        <w:t>. Deleveraging has started firs</w:t>
      </w:r>
      <w:r>
        <w:rPr>
          <w:rFonts w:ascii="Times New Roman" w:eastAsia="Times New Roman" w:hAnsi="Times New Roman" w:cs="Times New Roman"/>
          <w:noProof/>
          <w:lang w:eastAsia="en-GB"/>
        </w:rPr>
        <w:t>t in NFCs, and has been faster as compared with that recorded in the household sector both because of more negative net credit flows in the corporate sector and because of a stronger impact of nominal growth in the reduction of debt-to-GDP ratios given the</w:t>
      </w:r>
      <w:r>
        <w:rPr>
          <w:rFonts w:ascii="Times New Roman" w:eastAsia="Times New Roman" w:hAnsi="Times New Roman" w:cs="Times New Roman"/>
          <w:noProof/>
          <w:lang w:eastAsia="en-GB"/>
        </w:rPr>
        <w:t xml:space="preserve"> larger size of the corporate debt stocks </w:t>
      </w:r>
      <w:r>
        <w:rPr>
          <w:noProof/>
        </w:rPr>
        <w:t>as compared with households</w:t>
      </w:r>
      <w:r>
        <w:rPr>
          <w:rFonts w:ascii="Times New Roman" w:eastAsia="Times New Roman" w:hAnsi="Times New Roman" w:cs="Times New Roman"/>
          <w:noProof/>
          <w:lang w:eastAsia="en-GB"/>
        </w:rPr>
        <w:t xml:space="preserve">. </w:t>
      </w:r>
    </w:p>
    <w:p w:rsidR="007E447C" w:rsidRDefault="004D5789">
      <w:pPr>
        <w:pStyle w:val="ListParagraph"/>
        <w:numPr>
          <w:ilvl w:val="0"/>
          <w:numId w:val="24"/>
        </w:numPr>
        <w:spacing w:before="120" w:after="120"/>
        <w:jc w:val="both"/>
        <w:rPr>
          <w:rFonts w:ascii="Times New Roman" w:eastAsia="Times New Roman" w:hAnsi="Times New Roman" w:cs="Times New Roman"/>
          <w:b/>
          <w:noProof/>
          <w:lang w:eastAsia="en-GB"/>
        </w:rPr>
      </w:pPr>
      <w:r>
        <w:rPr>
          <w:rFonts w:ascii="Times New Roman" w:eastAsia="Times New Roman" w:hAnsi="Times New Roman" w:cs="Times New Roman"/>
          <w:noProof/>
          <w:lang w:eastAsia="en-GB"/>
        </w:rPr>
        <w:t xml:space="preserve">In a number of countries, </w:t>
      </w:r>
      <w:r>
        <w:rPr>
          <w:rFonts w:ascii="Times New Roman" w:eastAsia="Times New Roman" w:hAnsi="Times New Roman" w:cs="Times New Roman"/>
          <w:b/>
          <w:noProof/>
          <w:lang w:eastAsia="en-GB"/>
        </w:rPr>
        <w:t>NFCs</w:t>
      </w:r>
      <w:r>
        <w:rPr>
          <w:rFonts w:ascii="Times New Roman" w:eastAsia="Times New Roman" w:hAnsi="Times New Roman" w:cs="Times New Roman"/>
          <w:noProof/>
          <w:lang w:eastAsia="en-GB"/>
        </w:rPr>
        <w:t xml:space="preserve"> have managed to cut back at least about half of the debt-to-GDP ratios accumulated between 2000 and the year in which their debt peaked (Croatia, Denmark, Estonia, Hungary, Italy, Latvia, Lithuania, Portugal, Romania, Slovenia, Spain, Sweden, and the Unit</w:t>
      </w:r>
      <w:r>
        <w:rPr>
          <w:rFonts w:ascii="Times New Roman" w:eastAsia="Times New Roman" w:hAnsi="Times New Roman" w:cs="Times New Roman"/>
          <w:noProof/>
          <w:lang w:eastAsia="en-GB"/>
        </w:rPr>
        <w:t xml:space="preserve">ed Kingdom). However, the speed of deleveraging was not always in line with deleveraging needs, as in four countries with some of the highest corporate debt ratios (Luxembourg, Ireland, Cyprus, the Netherlands and Belgium), corporate deleveraging has been </w:t>
      </w:r>
      <w:r>
        <w:rPr>
          <w:rFonts w:ascii="Times New Roman" w:eastAsia="Times New Roman" w:hAnsi="Times New Roman" w:cs="Times New Roman"/>
          <w:noProof/>
          <w:lang w:eastAsia="en-GB"/>
        </w:rPr>
        <w:t xml:space="preserve">modest relative to debt stocks, while in France NFC debt levels have kept growing (Graph 11). </w:t>
      </w:r>
    </w:p>
    <w:p w:rsidR="007E447C" w:rsidRDefault="004D5789">
      <w:pPr>
        <w:pStyle w:val="ListParagraph"/>
        <w:numPr>
          <w:ilvl w:val="0"/>
          <w:numId w:val="24"/>
        </w:numPr>
        <w:spacing w:before="120" w:after="120"/>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Households</w:t>
      </w:r>
      <w:r>
        <w:rPr>
          <w:rFonts w:ascii="Times New Roman" w:eastAsia="Times New Roman" w:hAnsi="Times New Roman" w:cs="Times New Roman"/>
          <w:noProof/>
          <w:lang w:eastAsia="en-GB"/>
        </w:rPr>
        <w:t xml:space="preserve"> leverage ratios declined over the past two years in the three Member States where households are most indebted (Cyprus, Denmark, and the Netherlands),</w:t>
      </w:r>
      <w:r>
        <w:rPr>
          <w:rFonts w:ascii="Times New Roman" w:eastAsia="Times New Roman" w:hAnsi="Times New Roman" w:cs="Times New Roman"/>
          <w:noProof/>
          <w:lang w:eastAsia="en-GB"/>
        </w:rPr>
        <w:t xml:space="preserve"> as well as other high debt countries such as Greece, Portugal, and Spain (Graph 12). Household are no longer deleveraging in the United Kingdom and relatively high debt ratios in Finland and Sweden kept growing further.</w:t>
      </w:r>
    </w:p>
    <w:p w:rsidR="007E447C" w:rsidRDefault="004D5789">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E447C">
        <w:tc>
          <w:tcPr>
            <w:tcW w:w="4644" w:type="dxa"/>
          </w:tcPr>
          <w:p w:rsidR="007E447C" w:rsidRDefault="004D5789">
            <w:pPr>
              <w:spacing w:before="120" w:after="120" w:line="276" w:lineRule="auto"/>
              <w:jc w:val="both"/>
              <w:rPr>
                <w:rFonts w:ascii="Times New Roman" w:eastAsia="Times New Roman" w:hAnsi="Times New Roman" w:cs="Times New Roman"/>
                <w:noProof/>
                <w:sz w:val="24"/>
                <w:szCs w:val="24"/>
                <w:lang w:eastAsia="en-GB"/>
              </w:rPr>
            </w:pPr>
            <w:r>
              <w:rPr>
                <w:rFonts w:ascii="Times New Roman" w:eastAsia="MS Mincho" w:hAnsi="Times New Roman" w:cs="Times New Roman"/>
                <w:b/>
                <w:bCs/>
                <w:noProof/>
                <w:lang w:eastAsia="ja-JP"/>
              </w:rPr>
              <w:t>Graph 13: Decomposition of the ch</w:t>
            </w:r>
            <w:r>
              <w:rPr>
                <w:rFonts w:ascii="Times New Roman" w:eastAsia="MS Mincho" w:hAnsi="Times New Roman" w:cs="Times New Roman"/>
                <w:b/>
                <w:bCs/>
                <w:noProof/>
                <w:lang w:eastAsia="ja-JP"/>
              </w:rPr>
              <w:t>ange in NFC debt-to-GDP (2018 Q1)</w:t>
            </w:r>
          </w:p>
        </w:tc>
        <w:tc>
          <w:tcPr>
            <w:tcW w:w="4644" w:type="dxa"/>
          </w:tcPr>
          <w:p w:rsidR="007E447C" w:rsidRDefault="004D5789">
            <w:pPr>
              <w:keepNext/>
              <w:spacing w:before="120" w:after="120" w:line="276" w:lineRule="auto"/>
              <w:jc w:val="both"/>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t>Graph 14: Decomposition of the change in Household debt-to-GDP (2018 Q1)</w:t>
            </w:r>
          </w:p>
        </w:tc>
      </w:tr>
      <w:tr w:rsidR="007E447C">
        <w:tc>
          <w:tcPr>
            <w:tcW w:w="4644" w:type="dxa"/>
          </w:tcPr>
          <w:p w:rsidR="007E447C" w:rsidRDefault="004D5789">
            <w:pPr>
              <w:spacing w:line="276" w:lineRule="auto"/>
              <w:jc w:val="both"/>
              <w:rPr>
                <w:rFonts w:ascii="Times New Roman" w:eastAsia="Times New Roman" w:hAnsi="Times New Roman" w:cs="Times New Roman"/>
                <w:noProof/>
                <w:sz w:val="24"/>
                <w:szCs w:val="24"/>
                <w:lang w:eastAsia="en-GB"/>
              </w:rPr>
            </w:pPr>
            <w:bookmarkStart w:id="29" w:name="nfcdd"/>
            <w:bookmarkEnd w:id="29"/>
            <w:r>
              <w:rPr>
                <w:rFonts w:ascii="Times New Roman" w:eastAsia="Times New Roman" w:hAnsi="Times New Roman" w:cs="Times New Roman"/>
                <w:noProof/>
                <w:sz w:val="24"/>
                <w:szCs w:val="24"/>
                <w:lang w:eastAsia="en-GB"/>
              </w:rPr>
              <w:drawing>
                <wp:inline distT="0" distB="0" distL="0" distR="0">
                  <wp:extent cx="2914650" cy="2876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tc>
        <w:tc>
          <w:tcPr>
            <w:tcW w:w="4644" w:type="dxa"/>
          </w:tcPr>
          <w:p w:rsidR="007E447C" w:rsidRDefault="004D5789">
            <w:pPr>
              <w:keepNext/>
              <w:spacing w:line="276"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extent cx="2914650" cy="28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4650" cy="2895600"/>
                          </a:xfrm>
                          <a:prstGeom prst="rect">
                            <a:avLst/>
                          </a:prstGeom>
                          <a:noFill/>
                          <a:ln>
                            <a:noFill/>
                          </a:ln>
                        </pic:spPr>
                      </pic:pic>
                    </a:graphicData>
                  </a:graphic>
                </wp:inline>
              </w:drawing>
            </w:r>
          </w:p>
        </w:tc>
      </w:tr>
    </w:tbl>
    <w:p w:rsidR="007E447C" w:rsidRDefault="004D5789">
      <w:pPr>
        <w:keepNext/>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Sources:</w:t>
      </w:r>
      <w:r>
        <w:rPr>
          <w:rFonts w:ascii="Times New Roman" w:eastAsia="Times New Roman" w:hAnsi="Times New Roman" w:cs="Times New Roman"/>
          <w:noProof/>
          <w:sz w:val="20"/>
          <w:szCs w:val="20"/>
          <w:lang w:eastAsia="en-GB"/>
        </w:rPr>
        <w:t xml:space="preserve"> Eurostat non-consolidated quarterly sectoral accounts, Commission services calculations.</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Notes:</w:t>
      </w:r>
      <w:r>
        <w:rPr>
          <w:rFonts w:ascii="Times New Roman" w:eastAsia="Times New Roman" w:hAnsi="Times New Roman" w:cs="Times New Roman"/>
          <w:noProof/>
          <w:sz w:val="20"/>
          <w:szCs w:val="20"/>
          <w:lang w:eastAsia="en-GB"/>
        </w:rPr>
        <w:t xml:space="preserve"> the graphs present a breakdown of the year-on-year evolution of the non-consolidated debt-to-GDP ratios into five components: credit flows, potential and cyclical real GDP growth, inflation and other changes. The cyclical component of GDP growth is comput</w:t>
      </w:r>
      <w:r>
        <w:rPr>
          <w:rFonts w:ascii="Times New Roman" w:eastAsia="Times New Roman" w:hAnsi="Times New Roman" w:cs="Times New Roman"/>
          <w:noProof/>
          <w:sz w:val="20"/>
          <w:szCs w:val="20"/>
          <w:lang w:eastAsia="en-GB"/>
        </w:rPr>
        <w:t>ed as the difference between actual and potential growth. Active deleveraging involves net repayment of debt (negative net credit flows), usually leading to a nominal contraction of the sectorʼs balance sheet. Passive deleveraging, on the other hand, consi</w:t>
      </w:r>
      <w:r>
        <w:rPr>
          <w:rFonts w:ascii="Times New Roman" w:eastAsia="Times New Roman" w:hAnsi="Times New Roman" w:cs="Times New Roman"/>
          <w:noProof/>
          <w:sz w:val="20"/>
          <w:szCs w:val="20"/>
          <w:lang w:eastAsia="en-GB"/>
        </w:rPr>
        <w:t xml:space="preserve">sts in positive net credit flows being outweigthed by higher nominal GDP growth, leading to a decrease in the debt-to-GDP ratio. </w:t>
      </w:r>
    </w:p>
    <w:p w:rsidR="007E447C" w:rsidRDefault="007E447C">
      <w:pPr>
        <w:spacing w:before="120" w:after="120"/>
        <w:jc w:val="center"/>
        <w:rPr>
          <w:rFonts w:ascii="Times New Roman" w:eastAsia="Times New Roman" w:hAnsi="Times New Roman" w:cs="Times New Roman"/>
          <w:i/>
          <w:noProof/>
          <w:sz w:val="20"/>
          <w:szCs w:val="20"/>
          <w:lang w:eastAsia="en-GB"/>
        </w:rPr>
      </w:pP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Deleveraging increasingly relies on higher rates of nominal GDP growth. </w:t>
      </w:r>
      <w:r>
        <w:rPr>
          <w:rFonts w:ascii="Times New Roman" w:eastAsia="Times New Roman" w:hAnsi="Times New Roman" w:cs="Times New Roman"/>
          <w:noProof/>
          <w:lang w:eastAsia="en-GB"/>
        </w:rPr>
        <w:t>Private sector credit flows are recovering but remain</w:t>
      </w:r>
      <w:r>
        <w:rPr>
          <w:rFonts w:ascii="Times New Roman" w:eastAsia="Times New Roman" w:hAnsi="Times New Roman" w:cs="Times New Roman"/>
          <w:noProof/>
          <w:lang w:eastAsia="en-GB"/>
        </w:rPr>
        <w:t xml:space="preserve"> moderate and in no Member State exceeded the scoreboard threshold in 2017. Nominal GDP growth has loosened the pressure to deleverage actively, which has resulted into fewer countries exhibiting negative credit flows either to corporations or to household</w:t>
      </w:r>
      <w:r>
        <w:rPr>
          <w:rFonts w:ascii="Times New Roman" w:eastAsia="Times New Roman" w:hAnsi="Times New Roman" w:cs="Times New Roman"/>
          <w:noProof/>
          <w:lang w:eastAsia="en-GB"/>
        </w:rPr>
        <w:t>s, and negative flows on average of a lower absolute value (Graphs 13 and 14). In addition, some countries that were not deleveraging previously started to deleverage "passively", i.e., only because nominal GDP growth is reducing debt-to-GDP ratios and sin</w:t>
      </w:r>
      <w:r>
        <w:rPr>
          <w:rFonts w:ascii="Times New Roman" w:eastAsia="Times New Roman" w:hAnsi="Times New Roman" w:cs="Times New Roman"/>
          <w:noProof/>
          <w:lang w:eastAsia="en-GB"/>
        </w:rPr>
        <w:t xml:space="preserve">ce net credit flows are adding to debt. This is the case of Italy, Austria, and Czechia as far as NFCs are concerned, and Austria, Estonia, and Poland regarding the household sector. As shown in Graphs 13 and 14, a good deal of recent nominal growth rates </w:t>
      </w:r>
      <w:r>
        <w:rPr>
          <w:rFonts w:ascii="Times New Roman" w:eastAsia="Times New Roman" w:hAnsi="Times New Roman" w:cs="Times New Roman"/>
          <w:noProof/>
          <w:lang w:eastAsia="en-GB"/>
        </w:rPr>
        <w:t xml:space="preserve">are estimated to have cyclical nature (e.g., in Cyprus, Greece, Spain, Portugal, and Croatia). Looking forward, the prospects for further passive deleveraging will increasingly depend on growth potential, as the cyclical component growth will start fading </w:t>
      </w:r>
      <w:r>
        <w:rPr>
          <w:rFonts w:ascii="Times New Roman" w:eastAsia="Times New Roman" w:hAnsi="Times New Roman" w:cs="Times New Roman"/>
          <w:noProof/>
          <w:lang w:eastAsia="en-GB"/>
        </w:rPr>
        <w:t>off as output gaps are turning positive for a growing number of countries.</w:t>
      </w:r>
    </w:p>
    <w:p w:rsidR="007E447C" w:rsidRDefault="004D5789">
      <w:pP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br w:type="page"/>
      </w:r>
    </w:p>
    <w:p w:rsidR="007E447C" w:rsidRDefault="004D5789">
      <w:pPr>
        <w:spacing w:before="120" w:after="120"/>
        <w:jc w:val="both"/>
        <w:rPr>
          <w:noProof/>
        </w:rPr>
      </w:pPr>
      <w:r>
        <w:rPr>
          <w:rFonts w:ascii="Times New Roman" w:eastAsia="Times New Roman" w:hAnsi="Times New Roman" w:cs="Times New Roman"/>
          <w:b/>
          <w:noProof/>
          <w:lang w:eastAsia="en-GB"/>
        </w:rPr>
        <w:t xml:space="preserve">Conditions in the EU banking sector are improving but low levels of profitability and large stocks of NPLs persist in some countries. </w:t>
      </w:r>
      <w:r>
        <w:rPr>
          <w:noProof/>
        </w:rPr>
        <w:t>This is the case, in particular, in Greece, Cyprus, Italy, and Portugal (Graphs 15 and 16). On the positive side, in 2017 the recovery in banking sector profitability was particularly strong in those countries, and NPL reductions were often quite sizeable.</w:t>
      </w:r>
      <w:r>
        <w:rPr>
          <w:noProof/>
        </w:rPr>
        <w:t xml:space="preserve"> </w:t>
      </w:r>
    </w:p>
    <w:p w:rsidR="007E447C" w:rsidRDefault="004D5789">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The growth in financial sector liabilities slowed down in 2017</w:t>
      </w:r>
      <w:r>
        <w:rPr>
          <w:rFonts w:ascii="Times New Roman" w:eastAsia="Times New Roman" w:hAnsi="Times New Roman" w:cs="Times New Roman"/>
          <w:noProof/>
          <w:lang w:eastAsia="en-GB"/>
        </w:rPr>
        <w:t xml:space="preserve"> in most EU countries and remains well within the scoreboard threshold in all but two Member States.</w:t>
      </w:r>
      <w:r>
        <w:rPr>
          <w:rFonts w:eastAsia="Times New Roman"/>
          <w:noProof/>
          <w:vertAlign w:val="superscript"/>
          <w:lang w:eastAsia="en-GB"/>
        </w:rPr>
        <w:footnoteReference w:id="31"/>
      </w:r>
      <w:r>
        <w:rPr>
          <w:rFonts w:ascii="Times New Roman" w:eastAsia="Times New Roman" w:hAnsi="Times New Roman" w:cs="Times New Roman"/>
          <w:noProof/>
          <w:lang w:eastAsia="en-GB"/>
        </w:rPr>
        <w:t xml:space="preserve"> Bank credit flows moderated in 2017 after their previous pick up, with bank credit growth </w:t>
      </w:r>
      <w:r>
        <w:rPr>
          <w:rFonts w:ascii="Times New Roman" w:eastAsia="Times New Roman" w:hAnsi="Times New Roman" w:cs="Times New Roman"/>
          <w:noProof/>
          <w:lang w:eastAsia="en-GB"/>
        </w:rPr>
        <w:t xml:space="preserve">remaining stronger for the household sector than for the non-financial corporations. </w:t>
      </w:r>
    </w:p>
    <w:p w:rsidR="007E447C" w:rsidRDefault="004D5789">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Most Member States witnessed further improvements in bank profitability and capital ratios</w:t>
      </w:r>
      <w:r>
        <w:rPr>
          <w:rFonts w:ascii="Times New Roman" w:eastAsia="Times New Roman" w:hAnsi="Times New Roman" w:cs="Times New Roman"/>
          <w:noProof/>
          <w:lang w:eastAsia="en-GB"/>
        </w:rPr>
        <w:t xml:space="preserve"> over the past year. </w:t>
      </w:r>
      <w:r>
        <w:rPr>
          <w:rFonts w:ascii="Times New Roman" w:hAnsi="Times New Roman" w:cs="Times New Roman"/>
          <w:noProof/>
        </w:rPr>
        <w:t>Bank equity valuations have grown until early 2018 and a do</w:t>
      </w:r>
      <w:r>
        <w:rPr>
          <w:rFonts w:ascii="Times New Roman" w:hAnsi="Times New Roman" w:cs="Times New Roman"/>
          <w:noProof/>
        </w:rPr>
        <w:t xml:space="preserve">wnward correction took place afterwards, </w:t>
      </w:r>
      <w:r>
        <w:rPr>
          <w:rFonts w:ascii="Times New Roman" w:eastAsia="Times New Roman" w:hAnsi="Times New Roman" w:cs="Times New Roman"/>
          <w:noProof/>
          <w:lang w:eastAsia="en-GB"/>
        </w:rPr>
        <w:t xml:space="preserve">partially offsetting their previous increase partly linked to the flattening of yield curves and the associated compression of interest rate margins. </w:t>
      </w:r>
      <w:r>
        <w:rPr>
          <w:noProof/>
        </w:rPr>
        <w:t>In some Member States, a combination of low profitability, capita</w:t>
      </w:r>
      <w:r>
        <w:rPr>
          <w:noProof/>
        </w:rPr>
        <w:t xml:space="preserve">l ratios on the low side of the cross-country distribution and high levels of NPLs can be found. </w:t>
      </w:r>
    </w:p>
    <w:p w:rsidR="007E447C" w:rsidRDefault="004D5789">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eastAsia="Calibri" w:hAnsi="Times New Roman" w:cs="Times New Roman"/>
          <w:b/>
          <w:noProof/>
        </w:rPr>
        <w:t xml:space="preserve">The stocks of NPLs remain elevated in a number of Member States. </w:t>
      </w:r>
      <w:r>
        <w:rPr>
          <w:rFonts w:ascii="Times New Roman" w:eastAsia="Calibri" w:hAnsi="Times New Roman" w:cs="Times New Roman"/>
          <w:noProof/>
        </w:rPr>
        <w:t xml:space="preserve">The NPL ratio in 2017 is notably high in Greece and Cyprus where NPLs amount respectively to </w:t>
      </w:r>
      <w:r>
        <w:rPr>
          <w:rFonts w:ascii="Times New Roman" w:eastAsia="Calibri" w:hAnsi="Times New Roman" w:cs="Times New Roman"/>
          <w:noProof/>
        </w:rPr>
        <w:t>45% and 30% of total loans, and in Italy, Portugal, Bulgaria, Ireland, and Croatia where the NPLs stocks remain close to 10% of total loans.</w:t>
      </w:r>
      <w:r>
        <w:rPr>
          <w:rStyle w:val="FootnoteReference"/>
          <w:rFonts w:ascii="Times New Roman" w:eastAsia="Calibri" w:hAnsi="Times New Roman" w:cs="Times New Roman"/>
          <w:noProof/>
        </w:rPr>
        <w:footnoteReference w:id="32"/>
      </w:r>
      <w:r>
        <w:rPr>
          <w:rFonts w:ascii="Times New Roman" w:eastAsia="Calibri" w:hAnsi="Times New Roman" w:cs="Times New Roman"/>
          <w:noProof/>
        </w:rPr>
        <w:t xml:space="preserve"> After having grown over the post-crisis period, NPLs have started declining at different speed across the EU. </w:t>
      </w:r>
      <w:r>
        <w:rPr>
          <w:rFonts w:ascii="Times New Roman" w:eastAsia="Calibri" w:hAnsi="Times New Roman" w:cs="Times New Roman"/>
          <w:b/>
          <w:noProof/>
        </w:rPr>
        <w:t>Late</w:t>
      </w:r>
      <w:r>
        <w:rPr>
          <w:rFonts w:ascii="Times New Roman" w:eastAsia="Calibri" w:hAnsi="Times New Roman" w:cs="Times New Roman"/>
          <w:b/>
          <w:noProof/>
        </w:rPr>
        <w:t>st figures indicate</w:t>
      </w:r>
      <w:r>
        <w:rPr>
          <w:rFonts w:ascii="Times New Roman" w:eastAsia="Calibri" w:hAnsi="Times New Roman" w:cs="Times New Roman"/>
          <w:noProof/>
        </w:rPr>
        <w:t xml:space="preserve"> </w:t>
      </w:r>
      <w:r>
        <w:rPr>
          <w:rFonts w:ascii="Times New Roman" w:eastAsia="Calibri" w:hAnsi="Times New Roman" w:cs="Times New Roman"/>
          <w:b/>
          <w:noProof/>
        </w:rPr>
        <w:t>continued progress on the front of NPL reduction</w:t>
      </w:r>
      <w:r>
        <w:rPr>
          <w:rFonts w:ascii="Times New Roman" w:eastAsia="Calibri" w:hAnsi="Times New Roman" w:cs="Times New Roman"/>
          <w:noProof/>
        </w:rPr>
        <w:t>, including those countries with high shares of NPLs (except Greece), notably in Portugal and Italy (Graph 16).</w:t>
      </w:r>
      <w:r>
        <w:rPr>
          <w:rStyle w:val="FootnoteReference"/>
          <w:rFonts w:ascii="Times New Roman" w:eastAsia="Calibri" w:hAnsi="Times New Roman" w:cs="Times New Roman"/>
          <w:noProof/>
        </w:rPr>
        <w:footnoteReference w:id="33"/>
      </w:r>
      <w:r>
        <w:rPr>
          <w:rFonts w:ascii="Times New Roman" w:eastAsia="Calibri" w:hAnsi="Times New Roman" w:cs="Times New Roman"/>
          <w:noProof/>
        </w:rPr>
        <w:t xml:space="preserve"> </w:t>
      </w:r>
    </w:p>
    <w:p w:rsidR="007E447C" w:rsidRDefault="007E447C">
      <w:pPr>
        <w:pStyle w:val="ListParagraph"/>
        <w:spacing w:before="120" w:after="120"/>
        <w:contextualSpacing w:val="0"/>
        <w:jc w:val="both"/>
        <w:rPr>
          <w:rFonts w:ascii="Times New Roman" w:eastAsia="Times New Roman" w:hAnsi="Times New Roman" w:cs="Times New Roman"/>
          <w:noProof/>
          <w:sz w:val="24"/>
          <w:szCs w:val="24"/>
          <w:lang w:eastAsia="en-GB"/>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E447C">
        <w:tc>
          <w:tcPr>
            <w:tcW w:w="4643" w:type="dxa"/>
            <w:hideMark/>
          </w:tcPr>
          <w:p w:rsidR="007E447C" w:rsidRDefault="004D5789">
            <w:pPr>
              <w:keepNext/>
              <w:spacing w:before="120" w:after="120" w:line="276" w:lineRule="auto"/>
              <w:jc w:val="center"/>
              <w:rPr>
                <w:rFonts w:eastAsia="MS Mincho"/>
                <w:b/>
                <w:bCs/>
                <w:noProof/>
                <w:sz w:val="22"/>
                <w:szCs w:val="22"/>
                <w:lang w:eastAsia="ja-JP"/>
              </w:rPr>
            </w:pPr>
            <w:bookmarkStart w:id="30" w:name="_Ref525674958"/>
            <w:r>
              <w:rPr>
                <w:rFonts w:eastAsia="MS Mincho"/>
                <w:b/>
                <w:bCs/>
                <w:noProof/>
                <w:sz w:val="22"/>
                <w:szCs w:val="22"/>
                <w:lang w:eastAsia="ja-JP"/>
              </w:rPr>
              <w:t>Graph 1</w:t>
            </w:r>
            <w:bookmarkEnd w:id="30"/>
            <w:r>
              <w:rPr>
                <w:rFonts w:eastAsia="MS Mincho"/>
                <w:b/>
                <w:bCs/>
                <w:noProof/>
                <w:lang w:eastAsia="ja-JP"/>
              </w:rPr>
              <w:t>5</w:t>
            </w:r>
            <w:r>
              <w:rPr>
                <w:rFonts w:eastAsia="MS Mincho"/>
                <w:b/>
                <w:bCs/>
                <w:noProof/>
                <w:sz w:val="22"/>
                <w:szCs w:val="22"/>
                <w:lang w:eastAsia="ja-JP"/>
              </w:rPr>
              <w:t>: Bank profitability and capital ratios</w:t>
            </w:r>
          </w:p>
        </w:tc>
        <w:tc>
          <w:tcPr>
            <w:tcW w:w="4643" w:type="dxa"/>
          </w:tcPr>
          <w:p w:rsidR="007E447C" w:rsidRDefault="004D5789">
            <w:pPr>
              <w:spacing w:before="120" w:after="120" w:line="276" w:lineRule="auto"/>
              <w:jc w:val="center"/>
              <w:rPr>
                <w:noProof/>
                <w:sz w:val="24"/>
                <w:szCs w:val="24"/>
              </w:rPr>
            </w:pPr>
            <w:bookmarkStart w:id="31" w:name="_Ref525674927"/>
            <w:r>
              <w:rPr>
                <w:rFonts w:eastAsia="MS Mincho"/>
                <w:b/>
                <w:bCs/>
                <w:noProof/>
                <w:sz w:val="22"/>
                <w:lang w:eastAsia="ja-JP"/>
              </w:rPr>
              <w:t>Graph 1</w:t>
            </w:r>
            <w:bookmarkEnd w:id="31"/>
            <w:r>
              <w:rPr>
                <w:rFonts w:eastAsia="MS Mincho"/>
                <w:b/>
                <w:bCs/>
                <w:noProof/>
                <w:lang w:eastAsia="ja-JP"/>
              </w:rPr>
              <w:t>6</w:t>
            </w:r>
            <w:r>
              <w:rPr>
                <w:rFonts w:eastAsia="MS Mincho"/>
                <w:b/>
                <w:bCs/>
                <w:noProof/>
                <w:sz w:val="22"/>
                <w:lang w:eastAsia="ja-JP"/>
              </w:rPr>
              <w:t xml:space="preserve">: Non-performing </w:t>
            </w:r>
            <w:r>
              <w:rPr>
                <w:rFonts w:eastAsia="MS Mincho"/>
                <w:b/>
                <w:bCs/>
                <w:noProof/>
                <w:sz w:val="22"/>
                <w:lang w:eastAsia="ja-JP"/>
              </w:rPr>
              <w:t>debt instruments</w:t>
            </w:r>
          </w:p>
        </w:tc>
      </w:tr>
      <w:tr w:rsidR="007E447C">
        <w:tc>
          <w:tcPr>
            <w:tcW w:w="4643" w:type="dxa"/>
            <w:hideMark/>
          </w:tcPr>
          <w:p w:rsidR="007E447C" w:rsidRDefault="004D5789">
            <w:pPr>
              <w:spacing w:before="120" w:after="120" w:line="276" w:lineRule="auto"/>
              <w:jc w:val="both"/>
              <w:rPr>
                <w:noProof/>
                <w:sz w:val="24"/>
                <w:szCs w:val="24"/>
              </w:rPr>
            </w:pPr>
            <w:r>
              <w:rPr>
                <w:noProof/>
                <w:sz w:val="24"/>
                <w:szCs w:val="24"/>
              </w:rPr>
              <w:drawing>
                <wp:inline distT="0" distB="0" distL="0" distR="0">
                  <wp:extent cx="2880360" cy="2875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2875280"/>
                          </a:xfrm>
                          <a:prstGeom prst="rect">
                            <a:avLst/>
                          </a:prstGeom>
                          <a:noFill/>
                          <a:ln>
                            <a:noFill/>
                          </a:ln>
                        </pic:spPr>
                      </pic:pic>
                    </a:graphicData>
                  </a:graphic>
                </wp:inline>
              </w:drawing>
            </w:r>
          </w:p>
        </w:tc>
        <w:tc>
          <w:tcPr>
            <w:tcW w:w="4643" w:type="dxa"/>
            <w:hideMark/>
          </w:tcPr>
          <w:p w:rsidR="007E447C" w:rsidRDefault="004D5789">
            <w:pPr>
              <w:spacing w:before="120" w:after="120" w:line="276" w:lineRule="auto"/>
              <w:jc w:val="both"/>
              <w:rPr>
                <w:noProof/>
                <w:sz w:val="24"/>
                <w:szCs w:val="24"/>
              </w:rPr>
            </w:pPr>
            <w:r>
              <w:rPr>
                <w:i/>
                <w:noProof/>
              </w:rPr>
              <w:drawing>
                <wp:inline distT="0" distB="0" distL="0" distR="0">
                  <wp:extent cx="2879725" cy="2879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tc>
      </w:tr>
    </w:tbl>
    <w:p w:rsidR="007E447C" w:rsidRPr="004D5789" w:rsidRDefault="004D5789">
      <w:pPr>
        <w:keepNext/>
        <w:spacing w:after="0"/>
        <w:jc w:val="both"/>
        <w:rPr>
          <w:rFonts w:ascii="Times New Roman" w:eastAsia="Times New Roman" w:hAnsi="Times New Roman" w:cs="Times New Roman"/>
          <w:noProof/>
          <w:sz w:val="20"/>
          <w:szCs w:val="20"/>
          <w:lang w:eastAsia="en-GB"/>
        </w:rPr>
      </w:pPr>
      <w:r w:rsidRPr="004D5789">
        <w:rPr>
          <w:rFonts w:ascii="Times New Roman" w:eastAsia="Times New Roman" w:hAnsi="Times New Roman" w:cs="Times New Roman"/>
          <w:i/>
          <w:noProof/>
          <w:sz w:val="20"/>
          <w:szCs w:val="20"/>
          <w:lang w:eastAsia="en-GB"/>
        </w:rPr>
        <w:t>Sources:</w:t>
      </w:r>
      <w:r w:rsidRPr="004D5789">
        <w:rPr>
          <w:rFonts w:ascii="Times New Roman" w:eastAsia="Times New Roman" w:hAnsi="Times New Roman" w:cs="Times New Roman"/>
          <w:noProof/>
          <w:sz w:val="20"/>
          <w:szCs w:val="20"/>
          <w:lang w:eastAsia="en-GB"/>
        </w:rPr>
        <w:t xml:space="preserve"> ECB, Commission services calculations.</w:t>
      </w:r>
    </w:p>
    <w:p w:rsidR="007E447C" w:rsidRDefault="004D5789">
      <w:pPr>
        <w:spacing w:after="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i/>
          <w:noProof/>
          <w:sz w:val="20"/>
          <w:szCs w:val="20"/>
          <w:lang w:eastAsia="en-GB"/>
        </w:rPr>
        <w:t>Notes:</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0"/>
          <w:szCs w:val="20"/>
          <w:lang w:eastAsia="en-GB"/>
        </w:rPr>
        <w:t>Data on gross non-performing debt instruments for 2008 are unavailable for CZ, HR, SE and SI.</w:t>
      </w:r>
    </w:p>
    <w:p w:rsidR="007E447C" w:rsidRDefault="007E447C">
      <w:pPr>
        <w:spacing w:before="120" w:after="120"/>
        <w:rPr>
          <w:rFonts w:ascii="Times New Roman" w:eastAsia="Times New Roman" w:hAnsi="Times New Roman" w:cs="Times New Roman"/>
          <w:b/>
          <w:noProof/>
          <w:sz w:val="24"/>
          <w:szCs w:val="24"/>
          <w:lang w:eastAsia="en-GB"/>
        </w:rPr>
      </w:pP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House prices kept increasing in almost all EU countries in 2017, but house price </w:t>
      </w:r>
      <w:r>
        <w:rPr>
          <w:rFonts w:ascii="Times New Roman" w:eastAsia="Times New Roman" w:hAnsi="Times New Roman" w:cs="Times New Roman"/>
          <w:b/>
          <w:noProof/>
          <w:lang w:eastAsia="en-GB"/>
        </w:rPr>
        <w:t>growth rates seem to be moderating where signs of overvaluations are the strongest.</w:t>
      </w:r>
      <w:r>
        <w:rPr>
          <w:rFonts w:ascii="Times New Roman" w:eastAsia="Times New Roman" w:hAnsi="Times New Roman" w:cs="Times New Roman"/>
          <w:noProof/>
          <w:lang w:eastAsia="en-GB"/>
        </w:rPr>
        <w:t xml:space="preserve"> Despite continued sustained growth in house prices across the EU, 2017 data reveal fewer countries where house price growth is above the scoreboard threshold as compared wi</w:t>
      </w:r>
      <w:r>
        <w:rPr>
          <w:rFonts w:ascii="Times New Roman" w:eastAsia="Times New Roman" w:hAnsi="Times New Roman" w:cs="Times New Roman"/>
          <w:noProof/>
          <w:lang w:eastAsia="en-GB"/>
        </w:rPr>
        <w:t>th respect to 2016. In 2017, only six countries (Bulgaria, Czechia, Ireland, the Netherlands, Portugal, and Slovenia) exhibited values beyond the threshold, while the AMR 2018 identified cases above threshold in ten countries on the basis of 2016 data. Tho</w:t>
      </w:r>
      <w:r>
        <w:rPr>
          <w:rFonts w:ascii="Times New Roman" w:eastAsia="Times New Roman" w:hAnsi="Times New Roman" w:cs="Times New Roman"/>
          <w:noProof/>
          <w:lang w:eastAsia="en-GB"/>
        </w:rPr>
        <w:t>se changes reflect medium-to-moderate decelerations from values above the threshold and accelerations in few countries. Negative real house price growth in 2017 was recorded only in Greece and Italy. More recent data indicate that growth rates in the first</w:t>
      </w:r>
      <w:r>
        <w:rPr>
          <w:rFonts w:ascii="Times New Roman" w:eastAsia="Times New Roman" w:hAnsi="Times New Roman" w:cs="Times New Roman"/>
          <w:noProof/>
          <w:lang w:eastAsia="en-GB"/>
        </w:rPr>
        <w:t xml:space="preserve"> half of 2018 from one year earlier have been above the 6% scoreboard threshold in </w:t>
      </w:r>
      <w:r>
        <w:rPr>
          <w:rFonts w:ascii="Times New Roman" w:hAnsi="Times New Roman"/>
          <w:noProof/>
          <w:lang w:eastAsia="en-GB"/>
        </w:rPr>
        <w:t>Hungary, Ireland, Latvia, the Netherlands, Portugal, Slovakia, and Slovenia.</w:t>
      </w:r>
    </w:p>
    <w:p w:rsidR="007E447C" w:rsidRDefault="004D5789">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protraction of sustained rates of real house price growth have brought </w:t>
      </w:r>
      <w:r>
        <w:rPr>
          <w:rFonts w:ascii="Times New Roman" w:eastAsia="Times New Roman" w:hAnsi="Times New Roman" w:cs="Times New Roman"/>
          <w:b/>
          <w:noProof/>
          <w:lang w:eastAsia="en-GB"/>
        </w:rPr>
        <w:t xml:space="preserve">house prices back to </w:t>
      </w:r>
      <w:r>
        <w:rPr>
          <w:rFonts w:ascii="Times New Roman" w:eastAsia="Times New Roman" w:hAnsi="Times New Roman" w:cs="Times New Roman"/>
          <w:b/>
          <w:noProof/>
          <w:lang w:eastAsia="en-GB"/>
        </w:rPr>
        <w:t>or above the pre-crisis maxima</w:t>
      </w:r>
      <w:r>
        <w:rPr>
          <w:rFonts w:ascii="Times New Roman" w:eastAsia="Times New Roman" w:hAnsi="Times New Roman" w:cs="Times New Roman"/>
          <w:noProof/>
          <w:lang w:eastAsia="en-GB"/>
        </w:rPr>
        <w:t xml:space="preserve"> in a number of countries, namely Austria, Belgium, Czechia, Germany, Luxembourg, Malta, and Sweden. Real house price growth rates above those of income and other relevant variables normally determining house prices are drivin</w:t>
      </w:r>
      <w:r>
        <w:rPr>
          <w:rFonts w:ascii="Times New Roman" w:eastAsia="Times New Roman" w:hAnsi="Times New Roman" w:cs="Times New Roman"/>
          <w:noProof/>
          <w:lang w:eastAsia="en-GB"/>
        </w:rPr>
        <w:t xml:space="preserve">g house price levels in a territory of </w:t>
      </w:r>
      <w:r>
        <w:rPr>
          <w:rFonts w:ascii="Times New Roman" w:eastAsia="Times New Roman" w:hAnsi="Times New Roman" w:cs="Times New Roman"/>
          <w:b/>
          <w:noProof/>
          <w:lang w:eastAsia="en-GB"/>
        </w:rPr>
        <w:t xml:space="preserve">possible overvaluation in a growing number of countries </w:t>
      </w:r>
      <w:r>
        <w:rPr>
          <w:rFonts w:ascii="Times New Roman" w:eastAsia="Times New Roman" w:hAnsi="Times New Roman" w:cs="Times New Roman"/>
          <w:noProof/>
          <w:lang w:eastAsia="en-GB"/>
        </w:rPr>
        <w:t>(Graph 17).</w:t>
      </w:r>
      <w:bookmarkStart w:id="32" w:name="_Ref526526185"/>
      <w:r>
        <w:rPr>
          <w:rFonts w:ascii="Times New Roman" w:eastAsia="Calibri" w:hAnsi="Times New Roman" w:cs="Times New Roman"/>
          <w:noProof/>
          <w:vertAlign w:val="superscript"/>
        </w:rPr>
        <w:footnoteReference w:id="34"/>
      </w:r>
      <w:bookmarkEnd w:id="32"/>
      <w:r>
        <w:rPr>
          <w:rFonts w:ascii="Times New Roman" w:eastAsia="Calibri" w:hAnsi="Times New Roman" w:cs="Times New Roman"/>
          <w:noProof/>
        </w:rPr>
        <w:t xml:space="preserve"> </w:t>
      </w:r>
    </w:p>
    <w:p w:rsidR="007E447C" w:rsidRDefault="004D5789">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Real house price</w:t>
      </w:r>
      <w:r>
        <w:rPr>
          <w:rFonts w:ascii="Times New Roman" w:eastAsia="Times New Roman" w:hAnsi="Times New Roman" w:cs="Times New Roman"/>
          <w:b/>
          <w:noProof/>
          <w:lang w:eastAsia="en-GB"/>
        </w:rPr>
        <w:t xml:space="preserve"> accelerations </w:t>
      </w:r>
      <w:r>
        <w:rPr>
          <w:rFonts w:ascii="Times New Roman" w:eastAsia="Times New Roman" w:hAnsi="Times New Roman" w:cs="Times New Roman"/>
          <w:noProof/>
          <w:lang w:eastAsia="en-GB"/>
        </w:rPr>
        <w:t>in 2017 took place especially</w:t>
      </w:r>
      <w:r>
        <w:rPr>
          <w:rFonts w:ascii="Times New Roman" w:eastAsia="Times New Roman" w:hAnsi="Times New Roman" w:cs="Times New Roman"/>
          <w:b/>
          <w:noProof/>
          <w:lang w:eastAsia="en-GB"/>
        </w:rPr>
        <w:t xml:space="preserve"> in countries with negative or mildly positive valuation gaps </w:t>
      </w:r>
      <w:r>
        <w:rPr>
          <w:rFonts w:ascii="Times New Roman" w:eastAsia="Times New Roman" w:hAnsi="Times New Roman" w:cs="Times New Roman"/>
          <w:noProof/>
          <w:lang w:eastAsia="en-GB"/>
        </w:rPr>
        <w:t>(Graph 18).</w:t>
      </w:r>
      <w:r>
        <w:rPr>
          <w:noProof/>
        </w:rPr>
        <w:t xml:space="preserve"> </w:t>
      </w:r>
      <w:r>
        <w:rPr>
          <w:rFonts w:ascii="Times New Roman" w:eastAsia="Times New Roman" w:hAnsi="Times New Roman" w:cs="Times New Roman"/>
          <w:b/>
          <w:noProof/>
          <w:lang w:eastAsia="en-GB"/>
        </w:rPr>
        <w:t>Decelerations</w:t>
      </w:r>
      <w:r>
        <w:rPr>
          <w:rFonts w:ascii="Times New Roman" w:eastAsia="Times New Roman" w:hAnsi="Times New Roman" w:cs="Times New Roman"/>
          <w:noProof/>
          <w:lang w:eastAsia="en-GB"/>
        </w:rPr>
        <w:t xml:space="preserve"> were instead observed </w:t>
      </w:r>
      <w:r>
        <w:rPr>
          <w:rFonts w:ascii="Times New Roman" w:eastAsia="Times New Roman" w:hAnsi="Times New Roman" w:cs="Times New Roman"/>
          <w:b/>
          <w:noProof/>
          <w:lang w:eastAsia="en-GB"/>
        </w:rPr>
        <w:t>in countries presenting stronger indications of overvaluation</w:t>
      </w:r>
      <w:r>
        <w:rPr>
          <w:rFonts w:ascii="Times New Roman" w:eastAsia="Times New Roman" w:hAnsi="Times New Roman" w:cs="Times New Roman"/>
          <w:noProof/>
          <w:lang w:eastAsia="en-GB"/>
        </w:rPr>
        <w:t>,</w:t>
      </w:r>
      <w:r>
        <w:rPr>
          <w:noProof/>
        </w:rPr>
        <w:t xml:space="preserve"> including in light of affordability constraints, the implementation of macro-prudential policies, and the mechanical effect on real house price growth associated with the</w:t>
      </w:r>
      <w:r>
        <w:rPr>
          <w:rFonts w:ascii="Times New Roman" w:eastAsia="Times New Roman" w:hAnsi="Times New Roman" w:cs="Times New Roman"/>
          <w:noProof/>
          <w:lang w:eastAsia="en-GB"/>
        </w:rPr>
        <w:t xml:space="preserve"> pick-up in inflation rates (e.g., in Austria, Luxembourg, and the United Kingdom). Currently, the strongest house price growth rates are recorded in countries with moderate or no sign of overvaluation. Quarterly data, also for early 2018, indicate acceler</w:t>
      </w:r>
      <w:r>
        <w:rPr>
          <w:rFonts w:ascii="Times New Roman" w:eastAsia="Times New Roman" w:hAnsi="Times New Roman" w:cs="Times New Roman"/>
          <w:noProof/>
          <w:lang w:eastAsia="en-GB"/>
        </w:rPr>
        <w:t xml:space="preserve">ations in Estonia, Croatia, Hungary, Poland, Portugal, Slovenia, and Slovakia. Decelerations are observed especially in Bulgaria, Czechia, Romania, and Sweden, where house price growth entered negative territory in the first half of 2018 on a year-on-year </w:t>
      </w:r>
      <w:r>
        <w:rPr>
          <w:rFonts w:ascii="Times New Roman" w:eastAsia="Times New Roman" w:hAnsi="Times New Roman" w:cs="Times New Roman"/>
          <w:noProof/>
          <w:lang w:eastAsia="en-GB"/>
        </w:rPr>
        <w:t>basis.</w:t>
      </w:r>
      <w:r>
        <w:rPr>
          <w:rStyle w:val="FootnoteReference"/>
          <w:rFonts w:ascii="Times New Roman" w:eastAsia="Times New Roman" w:hAnsi="Times New Roman" w:cs="Times New Roman"/>
          <w:noProof/>
          <w:lang w:eastAsia="en-GB"/>
        </w:rPr>
        <w:footnoteReference w:id="35"/>
      </w:r>
      <w:r>
        <w:rPr>
          <w:rFonts w:ascii="Times New Roman" w:eastAsia="Times New Roman" w:hAnsi="Times New Roman" w:cs="Times New Roman"/>
          <w:noProof/>
          <w:lang w:eastAsia="en-GB"/>
        </w:rPr>
        <w:t xml:space="preserve"> Ireland, Portugal, and Slovenia recorded double-digit growth rates in the first half of 2018 from one year earlier.</w:t>
      </w:r>
    </w:p>
    <w:p w:rsidR="007E447C" w:rsidRDefault="004D5789">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eastAsia="en-GB"/>
        </w:rPr>
      </w:pPr>
      <w:r>
        <w:rPr>
          <w:noProof/>
        </w:rPr>
        <w:t xml:space="preserve">In a number of countries, including Denmark, Luxembourg, Sweden, and the United Kingdom, </w:t>
      </w:r>
      <w:r>
        <w:rPr>
          <w:b/>
          <w:noProof/>
        </w:rPr>
        <w:t xml:space="preserve">overvalued house prices coexist with large </w:t>
      </w:r>
      <w:r>
        <w:rPr>
          <w:b/>
          <w:noProof/>
        </w:rPr>
        <w:t>household debt levels</w:t>
      </w:r>
      <w:r>
        <w:rPr>
          <w:noProof/>
        </w:rPr>
        <w:t xml:space="preserve">. The Netherlands is marked by very high household debt. The growth of the mortgage stock in 2017 was particularly rapid (above 5% over the previous year) in Austria, Belgium, Bulgaria, Czechia, Estonia, France, Lithuania, Luxembourg, </w:t>
      </w:r>
      <w:r>
        <w:rPr>
          <w:noProof/>
        </w:rPr>
        <w:t xml:space="preserve">Malta, Poland, Romania, and Slovakia. </w:t>
      </w:r>
    </w:p>
    <w:p w:rsidR="007E447C" w:rsidRDefault="007E447C">
      <w:pPr>
        <w:spacing w:before="120" w:after="120"/>
        <w:jc w:val="both"/>
        <w:rPr>
          <w:rFonts w:ascii="Times New Roman" w:eastAsia="Times New Roman" w:hAnsi="Times New Roman" w:cs="Times New Roman"/>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E447C">
        <w:tc>
          <w:tcPr>
            <w:tcW w:w="4644" w:type="dxa"/>
          </w:tcPr>
          <w:p w:rsidR="007E447C" w:rsidRDefault="004D5789">
            <w:pPr>
              <w:keepNext/>
              <w:spacing w:before="120" w:after="120" w:line="276" w:lineRule="auto"/>
              <w:jc w:val="both"/>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t>Graph 17: House prices changes and valuation gaps in 2017</w:t>
            </w:r>
          </w:p>
        </w:tc>
        <w:tc>
          <w:tcPr>
            <w:tcW w:w="4644" w:type="dxa"/>
          </w:tcPr>
          <w:p w:rsidR="007E447C" w:rsidRDefault="004D5789">
            <w:pPr>
              <w:keepNext/>
              <w:spacing w:before="120" w:after="120" w:line="276" w:lineRule="auto"/>
              <w:jc w:val="both"/>
              <w:rPr>
                <w:rFonts w:ascii="Times New Roman" w:eastAsia="MS Mincho" w:hAnsi="Times New Roman" w:cs="Times New Roman"/>
                <w:b/>
                <w:bCs/>
                <w:noProof/>
                <w:lang w:eastAsia="ja-JP"/>
              </w:rPr>
            </w:pPr>
            <w:r>
              <w:rPr>
                <w:rFonts w:ascii="Times New Roman" w:eastAsia="MS Mincho" w:hAnsi="Times New Roman" w:cs="Times New Roman"/>
                <w:b/>
                <w:bCs/>
                <w:noProof/>
                <w:lang w:eastAsia="ja-JP"/>
              </w:rPr>
              <w:t>Graph 18: Valuation gaps and changes in price growth between 2016 and 2017</w:t>
            </w:r>
          </w:p>
        </w:tc>
      </w:tr>
      <w:tr w:rsidR="007E447C">
        <w:tc>
          <w:tcPr>
            <w:tcW w:w="4644" w:type="dxa"/>
          </w:tcPr>
          <w:p w:rsidR="007E447C" w:rsidRDefault="004D5789">
            <w:pPr>
              <w:keepNext/>
              <w:spacing w:before="120" w:after="120" w:line="276" w:lineRule="auto"/>
              <w:jc w:val="center"/>
              <w:rPr>
                <w:rFonts w:ascii="Times New Roman" w:eastAsia="MS Mincho" w:hAnsi="Times New Roman" w:cs="Times New Roman"/>
                <w:b/>
                <w:bCs/>
                <w:noProof/>
                <w:lang w:eastAsia="ja-JP"/>
              </w:rPr>
            </w:pPr>
            <w:r>
              <w:rPr>
                <w:rFonts w:ascii="Times New Roman" w:eastAsia="MS Mincho" w:hAnsi="Times New Roman" w:cs="Times New Roman"/>
                <w:b/>
                <w:bCs/>
                <w:noProof/>
                <w:lang w:eastAsia="en-GB"/>
              </w:rPr>
              <w:drawing>
                <wp:inline distT="0" distB="0" distL="0" distR="0">
                  <wp:extent cx="2880360" cy="28803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c>
          <w:tcPr>
            <w:tcW w:w="4644" w:type="dxa"/>
          </w:tcPr>
          <w:p w:rsidR="007E447C" w:rsidRDefault="004D5789">
            <w:pPr>
              <w:keepNext/>
              <w:spacing w:before="120" w:after="120" w:line="276" w:lineRule="auto"/>
              <w:jc w:val="center"/>
              <w:rPr>
                <w:rFonts w:ascii="Times New Roman" w:eastAsia="MS Mincho" w:hAnsi="Times New Roman" w:cs="Times New Roman"/>
                <w:b/>
                <w:bCs/>
                <w:noProof/>
                <w:lang w:eastAsia="ja-JP"/>
              </w:rPr>
            </w:pPr>
            <w:r>
              <w:rPr>
                <w:rFonts w:ascii="Times New Roman" w:eastAsia="MS Mincho" w:hAnsi="Times New Roman" w:cs="Times New Roman"/>
                <w:b/>
                <w:bCs/>
                <w:noProof/>
                <w:lang w:eastAsia="en-GB"/>
              </w:rPr>
              <w:drawing>
                <wp:inline distT="0" distB="0" distL="0" distR="0">
                  <wp:extent cx="2880360" cy="2880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tc>
      </w:tr>
    </w:tbl>
    <w:p w:rsidR="007E447C" w:rsidRDefault="004D5789">
      <w:pPr>
        <w:spacing w:after="0"/>
        <w:jc w:val="both"/>
        <w:rPr>
          <w:rFonts w:ascii="Times New Roman" w:eastAsia="Times New Roman" w:hAnsi="Times New Roman" w:cs="Times New Roman"/>
          <w:noProof/>
          <w:sz w:val="20"/>
          <w:szCs w:val="24"/>
          <w:lang w:eastAsia="en-GB"/>
        </w:rPr>
      </w:pPr>
      <w:r>
        <w:rPr>
          <w:rFonts w:ascii="Times New Roman" w:eastAsia="Times New Roman" w:hAnsi="Times New Roman" w:cs="Times New Roman"/>
          <w:i/>
          <w:noProof/>
          <w:sz w:val="20"/>
          <w:szCs w:val="24"/>
          <w:lang w:eastAsia="en-GB"/>
        </w:rPr>
        <w:t>Source</w:t>
      </w:r>
      <w:r>
        <w:rPr>
          <w:rFonts w:ascii="Times New Roman" w:eastAsia="Times New Roman" w:hAnsi="Times New Roman" w:cs="Times New Roman"/>
          <w:noProof/>
          <w:sz w:val="20"/>
          <w:szCs w:val="24"/>
          <w:lang w:eastAsia="en-GB"/>
        </w:rPr>
        <w:t>: Eurostat and Commission services calculations.</w:t>
      </w:r>
    </w:p>
    <w:p w:rsidR="007E447C" w:rsidRDefault="004D5789">
      <w:pPr>
        <w:spacing w:after="0"/>
        <w:jc w:val="both"/>
        <w:rPr>
          <w:rFonts w:ascii="Times New Roman" w:eastAsia="Times New Roman" w:hAnsi="Times New Roman" w:cs="Times New Roman"/>
          <w:b/>
          <w:noProof/>
          <w:sz w:val="20"/>
          <w:szCs w:val="24"/>
          <w:lang w:eastAsia="en-GB"/>
        </w:rPr>
      </w:pPr>
      <w:r>
        <w:rPr>
          <w:rFonts w:ascii="Times New Roman" w:eastAsia="Times New Roman" w:hAnsi="Times New Roman" w:cs="Times New Roman"/>
          <w:i/>
          <w:noProof/>
          <w:sz w:val="20"/>
          <w:szCs w:val="24"/>
          <w:lang w:eastAsia="en-GB"/>
        </w:rPr>
        <w:t>Note</w:t>
      </w:r>
      <w:r>
        <w:rPr>
          <w:rFonts w:ascii="Times New Roman" w:eastAsia="Times New Roman" w:hAnsi="Times New Roman" w:cs="Times New Roman"/>
          <w:noProof/>
          <w:sz w:val="20"/>
          <w:szCs w:val="24"/>
          <w:lang w:eastAsia="en-GB"/>
        </w:rPr>
        <w:t xml:space="preserve">: the overvaluation gap was estimated as an average of three metrics: the deviations in the price-to-income and the price-to-rent ratios from their long-run averages, and the results from a fundamental model of valuation gaps; see footnote </w:t>
      </w:r>
      <w:r>
        <w:rPr>
          <w:rFonts w:ascii="Times New Roman" w:eastAsia="Times New Roman" w:hAnsi="Times New Roman" w:cs="Times New Roman"/>
          <w:noProof/>
          <w:sz w:val="20"/>
          <w:szCs w:val="24"/>
          <w:lang w:eastAsia="en-GB"/>
        </w:rPr>
        <w:fldChar w:fldCharType="begin"/>
      </w:r>
      <w:r>
        <w:rPr>
          <w:rFonts w:ascii="Times New Roman" w:eastAsia="Times New Roman" w:hAnsi="Times New Roman" w:cs="Times New Roman"/>
          <w:noProof/>
          <w:sz w:val="20"/>
          <w:szCs w:val="24"/>
          <w:lang w:eastAsia="en-GB"/>
        </w:rPr>
        <w:instrText xml:space="preserve"> NOTEREF _Ref526</w:instrText>
      </w:r>
      <w:r>
        <w:rPr>
          <w:rFonts w:ascii="Times New Roman" w:eastAsia="Times New Roman" w:hAnsi="Times New Roman" w:cs="Times New Roman"/>
          <w:noProof/>
          <w:sz w:val="20"/>
          <w:szCs w:val="24"/>
          <w:lang w:eastAsia="en-GB"/>
        </w:rPr>
        <w:instrText xml:space="preserve">526185 \h  \* MERGEFORMAT </w:instrText>
      </w:r>
      <w:r>
        <w:rPr>
          <w:rFonts w:ascii="Times New Roman" w:eastAsia="Times New Roman" w:hAnsi="Times New Roman" w:cs="Times New Roman"/>
          <w:noProof/>
          <w:sz w:val="20"/>
          <w:szCs w:val="24"/>
          <w:lang w:eastAsia="en-GB"/>
        </w:rPr>
      </w:r>
      <w:r>
        <w:rPr>
          <w:rFonts w:ascii="Times New Roman" w:eastAsia="Times New Roman" w:hAnsi="Times New Roman" w:cs="Times New Roman"/>
          <w:noProof/>
          <w:sz w:val="20"/>
          <w:szCs w:val="24"/>
          <w:lang w:eastAsia="en-GB"/>
        </w:rPr>
        <w:fldChar w:fldCharType="separate"/>
      </w:r>
      <w:r>
        <w:rPr>
          <w:rFonts w:ascii="Times New Roman" w:eastAsia="Times New Roman" w:hAnsi="Times New Roman" w:cs="Times New Roman"/>
          <w:noProof/>
          <w:sz w:val="20"/>
          <w:szCs w:val="24"/>
          <w:lang w:eastAsia="en-GB"/>
        </w:rPr>
        <w:t>34</w:t>
      </w:r>
      <w:r>
        <w:rPr>
          <w:rFonts w:ascii="Times New Roman" w:eastAsia="Times New Roman" w:hAnsi="Times New Roman" w:cs="Times New Roman"/>
          <w:noProof/>
          <w:sz w:val="20"/>
          <w:szCs w:val="24"/>
          <w:lang w:eastAsia="en-GB"/>
        </w:rPr>
        <w:fldChar w:fldCharType="end"/>
      </w:r>
      <w:r>
        <w:rPr>
          <w:rFonts w:ascii="Times New Roman" w:eastAsia="Times New Roman" w:hAnsi="Times New Roman" w:cs="Times New Roman"/>
          <w:noProof/>
          <w:sz w:val="20"/>
          <w:szCs w:val="24"/>
          <w:lang w:eastAsia="en-GB"/>
        </w:rPr>
        <w:t>.</w:t>
      </w:r>
    </w:p>
    <w:p w:rsidR="007E447C" w:rsidRDefault="007E447C">
      <w:pPr>
        <w:spacing w:before="120" w:after="120"/>
        <w:jc w:val="both"/>
        <w:rPr>
          <w:rFonts w:ascii="Times New Roman" w:eastAsia="Times New Roman" w:hAnsi="Times New Roman" w:cs="Times New Roman"/>
          <w:b/>
          <w:noProof/>
          <w:lang w:eastAsia="en-GB"/>
        </w:rPr>
      </w:pP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 xml:space="preserve">Government debt ratios stopped growing across the EU but debt levels remain elevated in many countries. </w:t>
      </w:r>
      <w:r>
        <w:rPr>
          <w:rFonts w:ascii="Times New Roman" w:eastAsia="Times New Roman" w:hAnsi="Times New Roman" w:cs="Times New Roman"/>
          <w:noProof/>
          <w:lang w:eastAsia="en-GB"/>
        </w:rPr>
        <w:t>Scoreboard values exceeded the threshold in 15 Member States in 2017. Belgium, Greece, Italy and Portugal display debt levels exceeding 100% of GDP, with Italy seeing significant increase in its funding cost in 2018. For eight countries (Belgium, Cyprus, F</w:t>
      </w:r>
      <w:r>
        <w:rPr>
          <w:rFonts w:ascii="Times New Roman" w:eastAsia="Times New Roman" w:hAnsi="Times New Roman" w:cs="Times New Roman"/>
          <w:noProof/>
          <w:lang w:eastAsia="en-GB"/>
        </w:rPr>
        <w:t>inland, France, Ireland, Portugal, Spain, and the United Kingdom) government debt in excess of 60% of GDP combines with private sector indebtedness beyond the respective threshold. Government debt-to-GDP ratios have generally embarked into downward traject</w:t>
      </w:r>
      <w:r>
        <w:rPr>
          <w:rFonts w:ascii="Times New Roman" w:eastAsia="Times New Roman" w:hAnsi="Times New Roman" w:cs="Times New Roman"/>
          <w:noProof/>
          <w:lang w:eastAsia="en-GB"/>
        </w:rPr>
        <w:t xml:space="preserve">ories (Graph 19). Yet in countries with high levels of public debt, deleveraging has started only recently and proceeds at low pace. Among all EU countries, debt ratios are forecast to grow only in Lithuania and Romania in 2019. Overall, government sector </w:t>
      </w:r>
      <w:r>
        <w:rPr>
          <w:rFonts w:ascii="Times New Roman" w:eastAsia="Times New Roman" w:hAnsi="Times New Roman" w:cs="Times New Roman"/>
          <w:noProof/>
          <w:lang w:eastAsia="en-GB"/>
        </w:rPr>
        <w:t>deleveraging is taking place in light of the gradual improvement in budgetary positions over the past years, continued nominal GDP growth and reduced interest payments. However, a growing number of countries are expected to run pro-cyclical budgetary loose</w:t>
      </w:r>
      <w:r>
        <w:rPr>
          <w:rFonts w:ascii="Times New Roman" w:eastAsia="Times New Roman" w:hAnsi="Times New Roman" w:cs="Times New Roman"/>
          <w:noProof/>
          <w:lang w:eastAsia="en-GB"/>
        </w:rPr>
        <w:t xml:space="preserve">ning at the possible expense of the room available in the future to cushion negative output shocks. </w:t>
      </w:r>
    </w:p>
    <w:p w:rsidR="007E447C" w:rsidRDefault="007E447C">
      <w:pPr>
        <w:spacing w:before="120" w:after="120"/>
        <w:rPr>
          <w:rFonts w:ascii="Times New Roman" w:eastAsia="Times New Roman" w:hAnsi="Times New Roman" w:cs="Times New Roman"/>
          <w:b/>
          <w:noProof/>
          <w:lang w:eastAsia="en-GB"/>
        </w:rPr>
      </w:pPr>
    </w:p>
    <w:p w:rsidR="007E447C" w:rsidRDefault="004D5789">
      <w:pPr>
        <w:spacing w:before="120" w:after="120"/>
        <w:jc w:val="center"/>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Graph 19: Government debt</w:t>
      </w:r>
    </w:p>
    <w:p w:rsidR="007E447C" w:rsidRDefault="004D5789">
      <w:pPr>
        <w:spacing w:before="120" w:after="120"/>
        <w:jc w:val="center"/>
        <w:rPr>
          <w:rFonts w:ascii="Times New Roman" w:eastAsia="Times New Roman" w:hAnsi="Times New Roman" w:cs="Times New Roman"/>
          <w:noProof/>
          <w:sz w:val="24"/>
          <w:szCs w:val="24"/>
          <w:lang w:eastAsia="en-GB"/>
        </w:rPr>
      </w:pPr>
      <w:r>
        <w:rPr>
          <w:noProof/>
          <w:lang w:eastAsia="en-GB"/>
        </w:rPr>
        <w:drawing>
          <wp:inline distT="0" distB="0" distL="0" distR="0">
            <wp:extent cx="5219700" cy="305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700" cy="3054350"/>
                    </a:xfrm>
                    <a:prstGeom prst="rect">
                      <a:avLst/>
                    </a:prstGeom>
                    <a:noFill/>
                    <a:ln>
                      <a:noFill/>
                    </a:ln>
                  </pic:spPr>
                </pic:pic>
              </a:graphicData>
            </a:graphic>
          </wp:inline>
        </w:drawing>
      </w:r>
    </w:p>
    <w:p w:rsidR="007E447C" w:rsidRDefault="004D5789">
      <w:pPr>
        <w:spacing w:before="120" w:after="120"/>
        <w:rPr>
          <w:rFonts w:ascii="Times New Roman" w:eastAsia="Times New Roman" w:hAnsi="Times New Roman" w:cs="Times New Roman"/>
          <w:noProof/>
          <w:sz w:val="20"/>
          <w:szCs w:val="24"/>
          <w:lang w:val="fr-FR" w:eastAsia="en-GB"/>
        </w:rPr>
      </w:pPr>
      <w:r>
        <w:rPr>
          <w:rFonts w:ascii="Times New Roman" w:eastAsia="Times New Roman" w:hAnsi="Times New Roman" w:cs="Times New Roman"/>
          <w:i/>
          <w:noProof/>
          <w:sz w:val="20"/>
          <w:szCs w:val="24"/>
          <w:lang w:val="fr-FR" w:eastAsia="en-GB"/>
        </w:rPr>
        <w:t>Source:</w:t>
      </w:r>
      <w:r>
        <w:rPr>
          <w:rFonts w:ascii="Times New Roman" w:eastAsia="Times New Roman" w:hAnsi="Times New Roman" w:cs="Times New Roman"/>
          <w:noProof/>
          <w:sz w:val="20"/>
          <w:szCs w:val="24"/>
          <w:lang w:val="fr-FR" w:eastAsia="en-GB"/>
        </w:rPr>
        <w:t xml:space="preserve"> Eurostat</w:t>
      </w:r>
    </w:p>
    <w:p w:rsidR="007E447C" w:rsidRDefault="007E447C">
      <w:pPr>
        <w:spacing w:before="120" w:after="120"/>
        <w:rPr>
          <w:rFonts w:ascii="Times New Roman" w:eastAsia="Times New Roman" w:hAnsi="Times New Roman" w:cs="Times New Roman"/>
          <w:noProof/>
          <w:sz w:val="20"/>
          <w:szCs w:val="24"/>
          <w:lang w:val="fr-FR" w:eastAsia="en-GB"/>
        </w:rPr>
      </w:pPr>
    </w:p>
    <w:p w:rsidR="007E447C" w:rsidRDefault="004D5789">
      <w:pPr>
        <w:rPr>
          <w:rFonts w:ascii="Times New Roman" w:eastAsia="Times New Roman" w:hAnsi="Times New Roman" w:cs="Times New Roman"/>
          <w:i/>
          <w:noProof/>
          <w:sz w:val="20"/>
          <w:szCs w:val="20"/>
          <w:lang w:val="fr-FR" w:eastAsia="en-GB"/>
        </w:rPr>
      </w:pPr>
      <w:r>
        <w:rPr>
          <w:rFonts w:ascii="Times New Roman" w:eastAsia="Times New Roman" w:hAnsi="Times New Roman" w:cs="Times New Roman"/>
          <w:i/>
          <w:noProof/>
          <w:sz w:val="20"/>
          <w:szCs w:val="20"/>
          <w:lang w:val="fr-FR" w:eastAsia="en-GB"/>
        </w:rPr>
        <w:br w:type="page"/>
      </w:r>
    </w:p>
    <w:p w:rsidR="007E447C" w:rsidRDefault="007E447C">
      <w:pPr>
        <w:spacing w:before="120" w:after="120"/>
        <w:jc w:val="center"/>
        <w:rPr>
          <w:rFonts w:ascii="Times New Roman" w:eastAsia="Times New Roman" w:hAnsi="Times New Roman" w:cs="Times New Roman"/>
          <w:i/>
          <w:noProof/>
          <w:sz w:val="20"/>
          <w:szCs w:val="20"/>
          <w:lang w:val="fr-FR"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447C">
        <w:tc>
          <w:tcPr>
            <w:tcW w:w="9288" w:type="dxa"/>
            <w:tcBorders>
              <w:top w:val="single" w:sz="4" w:space="0" w:color="auto"/>
              <w:left w:val="single" w:sz="4" w:space="0" w:color="auto"/>
              <w:bottom w:val="single" w:sz="4" w:space="0" w:color="auto"/>
              <w:right w:val="single" w:sz="4" w:space="0" w:color="auto"/>
            </w:tcBorders>
            <w:shd w:val="clear" w:color="auto" w:fill="BFBFBF"/>
          </w:tcPr>
          <w:p w:rsidR="007E447C" w:rsidRDefault="004D5789">
            <w:pPr>
              <w:spacing w:before="120" w:after="120" w:line="240" w:lineRule="auto"/>
              <w:jc w:val="center"/>
              <w:rPr>
                <w:rFonts w:ascii="Times New Roman" w:eastAsia="Times New Roman" w:hAnsi="Times New Roman" w:cs="Times New Roman"/>
                <w:b/>
                <w:i/>
                <w:noProof/>
                <w:lang w:eastAsia="en-GB"/>
              </w:rPr>
            </w:pPr>
            <w:r>
              <w:rPr>
                <w:rFonts w:ascii="Times New Roman" w:eastAsia="Times New Roman" w:hAnsi="Times New Roman" w:cs="Times New Roman"/>
                <w:b/>
                <w:i/>
                <w:noProof/>
                <w:lang w:eastAsia="en-GB"/>
              </w:rPr>
              <w:t xml:space="preserve">Box 3: </w:t>
            </w:r>
            <w:r>
              <w:rPr>
                <w:rFonts w:ascii="Times New Roman" w:eastAsia="Times New Roman" w:hAnsi="Times New Roman" w:cs="Times New Roman"/>
                <w:b/>
                <w:bCs/>
                <w:noProof/>
                <w:lang w:eastAsia="en-GB"/>
              </w:rPr>
              <w:t>Employment and social developments</w:t>
            </w:r>
          </w:p>
          <w:p w:rsidR="007E447C" w:rsidRDefault="004D5789">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noProof/>
              </w:rPr>
              <w:t xml:space="preserve">EU labour markets continued to improve during 2017 and the </w:t>
            </w:r>
            <w:r>
              <w:rPr>
                <w:rFonts w:ascii="Times New Roman" w:hAnsi="Times New Roman" w:cs="Times New Roman"/>
                <w:b/>
                <w:noProof/>
              </w:rPr>
              <w:t>first half of 2018 with disparities across the EU decreasing from elevated levels.</w:t>
            </w:r>
            <w:r>
              <w:rPr>
                <w:rFonts w:ascii="Times New Roman" w:hAnsi="Times New Roman" w:cs="Times New Roman"/>
                <w:noProof/>
              </w:rPr>
              <w:t xml:space="preserve"> Employment has grown further and reached a new high in number of persons employed in the EU as a whole. Unemployment has been declining in all EU countries even if joblessne</w:t>
            </w:r>
            <w:r>
              <w:rPr>
                <w:rFonts w:ascii="Times New Roman" w:hAnsi="Times New Roman" w:cs="Times New Roman"/>
                <w:noProof/>
              </w:rPr>
              <w:t>ss remains high in a number of them. The recovery has contributed to a decline in some poverty indicators</w:t>
            </w:r>
            <w:r>
              <w:rPr>
                <w:rStyle w:val="FootnoteReference"/>
                <w:rFonts w:ascii="Times New Roman" w:hAnsi="Times New Roman" w:cs="Times New Roman"/>
                <w:noProof/>
              </w:rPr>
              <w:t xml:space="preserve"> </w:t>
            </w:r>
            <w:r>
              <w:rPr>
                <w:rFonts w:ascii="Times New Roman" w:hAnsi="Times New Roman" w:cs="Times New Roman"/>
                <w:noProof/>
              </w:rPr>
              <w:t>but the social situation remains a concern in some Member States. Since 2008, relative poverty risk increased in the EU, but severe material deprivati</w:t>
            </w:r>
            <w:r>
              <w:rPr>
                <w:rFonts w:ascii="Times New Roman" w:hAnsi="Times New Roman" w:cs="Times New Roman"/>
                <w:noProof/>
              </w:rPr>
              <w:t>on decreased, especially in Eastern European Member States with a high initial level.</w:t>
            </w:r>
          </w:p>
          <w:p w:rsidR="007E447C" w:rsidRDefault="007E447C">
            <w:pPr>
              <w:autoSpaceDE w:val="0"/>
              <w:autoSpaceDN w:val="0"/>
              <w:adjustRightInd w:val="0"/>
              <w:spacing w:after="0" w:line="240" w:lineRule="auto"/>
              <w:rPr>
                <w:rFonts w:ascii="Times New Roman" w:hAnsi="Times New Roman" w:cs="Times New Roman"/>
                <w:noProof/>
              </w:rPr>
            </w:pPr>
          </w:p>
          <w:p w:rsidR="007E447C" w:rsidRDefault="004D5789">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noProof/>
              </w:rPr>
              <w:t xml:space="preserve">In 2017, the </w:t>
            </w:r>
            <w:r>
              <w:rPr>
                <w:rFonts w:ascii="Times New Roman" w:hAnsi="Times New Roman" w:cs="Times New Roman"/>
                <w:b/>
                <w:i/>
                <w:iCs/>
                <w:noProof/>
              </w:rPr>
              <w:t xml:space="preserve">unemployment rate </w:t>
            </w:r>
            <w:r>
              <w:rPr>
                <w:rFonts w:ascii="Times New Roman" w:hAnsi="Times New Roman" w:cs="Times New Roman"/>
                <w:b/>
                <w:iCs/>
                <w:noProof/>
              </w:rPr>
              <w:t>decreased in all Member States</w:t>
            </w:r>
            <w:r>
              <w:rPr>
                <w:rFonts w:ascii="Times New Roman" w:hAnsi="Times New Roman" w:cs="Times New Roman"/>
                <w:b/>
                <w:noProof/>
              </w:rPr>
              <w:t>.</w:t>
            </w:r>
            <w:r>
              <w:rPr>
                <w:rFonts w:ascii="Times New Roman" w:hAnsi="Times New Roman" w:cs="Times New Roman"/>
                <w:noProof/>
              </w:rPr>
              <w:t xml:space="preserve"> Improvements were the strongest in countries with some of the highest levels of unemployment (reductions o</w:t>
            </w:r>
            <w:r>
              <w:rPr>
                <w:rFonts w:ascii="Times New Roman" w:hAnsi="Times New Roman" w:cs="Times New Roman"/>
                <w:noProof/>
              </w:rPr>
              <w:t>f 2 percentage points or more in Croatia, Greece, Portugal, and Spain). Nevertheless, seven Member States (Greece, Spain, Croatia, Cyprus, Italy, Portugal, and France) exceeded the MIP scoreboard indicator threshold of an average 10% over the past 3 years.</w:t>
            </w:r>
            <w:r>
              <w:rPr>
                <w:rFonts w:ascii="Times New Roman" w:hAnsi="Times New Roman" w:cs="Times New Roman"/>
                <w:noProof/>
              </w:rPr>
              <w:t xml:space="preserve"> In 2017, unemployment rates were still higher than in 2008 in about two-thirds of the Member States. In the whole EU and in the euro area, unemployment rates were about 3 percentage points below the peaks reached in 2013, but still ½ and 1½ percentage poi</w:t>
            </w:r>
            <w:r>
              <w:rPr>
                <w:rFonts w:ascii="Times New Roman" w:hAnsi="Times New Roman" w:cs="Times New Roman"/>
                <w:noProof/>
              </w:rPr>
              <w:t xml:space="preserve">nts higher than in 2008. Unemployment rates continued to steadily decrease in the first half of 2018, down to 6.9% and 8.3% in Q2-2018 in the EU and the euro area respectively. </w:t>
            </w:r>
          </w:p>
          <w:p w:rsidR="007E447C" w:rsidRDefault="007E447C">
            <w:pPr>
              <w:autoSpaceDE w:val="0"/>
              <w:autoSpaceDN w:val="0"/>
              <w:adjustRightInd w:val="0"/>
              <w:spacing w:after="0" w:line="240" w:lineRule="auto"/>
              <w:jc w:val="both"/>
              <w:rPr>
                <w:rFonts w:ascii="Times New Roman" w:hAnsi="Times New Roman" w:cs="Times New Roman"/>
                <w:noProof/>
              </w:rPr>
            </w:pPr>
          </w:p>
          <w:p w:rsidR="007E447C" w:rsidRDefault="004D5789">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i/>
                <w:noProof/>
              </w:rPr>
              <w:t>Employment rates</w:t>
            </w:r>
            <w:r>
              <w:rPr>
                <w:rFonts w:ascii="Times New Roman" w:hAnsi="Times New Roman" w:cs="Times New Roman"/>
                <w:b/>
                <w:noProof/>
              </w:rPr>
              <w:t xml:space="preserve"> went up in almost all Member States, continuing the positive</w:t>
            </w:r>
            <w:r>
              <w:rPr>
                <w:rFonts w:ascii="Times New Roman" w:hAnsi="Times New Roman" w:cs="Times New Roman"/>
                <w:b/>
                <w:noProof/>
              </w:rPr>
              <w:t xml:space="preserve"> developments of the last years.</w:t>
            </w:r>
            <w:r>
              <w:rPr>
                <w:rFonts w:ascii="Times New Roman" w:hAnsi="Times New Roman" w:cs="Times New Roman"/>
                <w:noProof/>
              </w:rPr>
              <w:t xml:space="preserve"> The employment rate (20-64 years old) reached 72.1% in 2017 for the EU as a whole, well above the pre-crisis peak of 70.3% recorded in 2008. The employment rate kept increasing in the second quarter of 2018 up to a record 7</w:t>
            </w:r>
            <w:r>
              <w:rPr>
                <w:rFonts w:ascii="Times New Roman" w:hAnsi="Times New Roman" w:cs="Times New Roman"/>
                <w:noProof/>
              </w:rPr>
              <w:t xml:space="preserve">3.2%. </w:t>
            </w:r>
          </w:p>
          <w:p w:rsidR="007E447C" w:rsidRDefault="007E447C">
            <w:pPr>
              <w:autoSpaceDE w:val="0"/>
              <w:autoSpaceDN w:val="0"/>
              <w:adjustRightInd w:val="0"/>
              <w:spacing w:after="0" w:line="240" w:lineRule="auto"/>
              <w:rPr>
                <w:rFonts w:ascii="Times New Roman" w:hAnsi="Times New Roman" w:cs="Times New Roman"/>
                <w:noProof/>
              </w:rPr>
            </w:pPr>
          </w:p>
          <w:p w:rsidR="007E447C" w:rsidRDefault="004D5789">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i/>
                <w:noProof/>
              </w:rPr>
              <w:t>Activity rates</w:t>
            </w:r>
            <w:r>
              <w:rPr>
                <w:rFonts w:ascii="Times New Roman" w:hAnsi="Times New Roman" w:cs="Times New Roman"/>
                <w:b/>
                <w:noProof/>
              </w:rPr>
              <w:t xml:space="preserve"> continued to increase nearly everywhere in the EU.</w:t>
            </w:r>
            <w:r>
              <w:rPr>
                <w:rFonts w:ascii="Times New Roman" w:hAnsi="Times New Roman" w:cs="Times New Roman"/>
                <w:noProof/>
              </w:rPr>
              <w:t xml:space="preserve"> Only three countries registered a declining activity rate over the last three years: Spain (-0.3 percentage points), Cyprus (-0.4), and Luxembourg (-0.6). In all three cases, the dec</w:t>
            </w:r>
            <w:r>
              <w:rPr>
                <w:rFonts w:ascii="Times New Roman" w:hAnsi="Times New Roman" w:cs="Times New Roman"/>
                <w:noProof/>
              </w:rPr>
              <w:t>line exceeds the scoreboard threshold of -0.2. On aggregate, in 2017 for the EU and the euro area activity rates were at 73.3% and 73.1% respectively, i.e., 2½ and 2 percentage points above their 2008 levels. That increasing trend has been mostly due to in</w:t>
            </w:r>
            <w:r>
              <w:rPr>
                <w:rFonts w:ascii="Times New Roman" w:hAnsi="Times New Roman" w:cs="Times New Roman"/>
                <w:noProof/>
              </w:rPr>
              <w:t xml:space="preserve">creasing labour market participation by older workers and women. </w:t>
            </w:r>
          </w:p>
          <w:p w:rsidR="007E447C" w:rsidRDefault="007E447C">
            <w:pPr>
              <w:autoSpaceDE w:val="0"/>
              <w:autoSpaceDN w:val="0"/>
              <w:adjustRightInd w:val="0"/>
              <w:spacing w:after="0" w:line="240" w:lineRule="auto"/>
              <w:rPr>
                <w:rFonts w:ascii="Times New Roman" w:hAnsi="Times New Roman" w:cs="Times New Roman"/>
                <w:noProof/>
              </w:rPr>
            </w:pPr>
          </w:p>
          <w:p w:rsidR="007E447C" w:rsidRDefault="004D5789">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b/>
                <w:noProof/>
              </w:rPr>
              <w:t>Long-term and youth unemployment remain elevated in various EU countries but have improved more strongly than the rest of the labour market.</w:t>
            </w:r>
            <w:r>
              <w:rPr>
                <w:rFonts w:ascii="Times New Roman" w:hAnsi="Times New Roman" w:cs="Times New Roman"/>
                <w:i/>
                <w:noProof/>
              </w:rPr>
              <w:t xml:space="preserve"> Long-term unemployment </w:t>
            </w:r>
            <w:r>
              <w:rPr>
                <w:rFonts w:ascii="Times New Roman" w:hAnsi="Times New Roman" w:cs="Times New Roman"/>
                <w:noProof/>
              </w:rPr>
              <w:t>decreased in all Member S</w:t>
            </w:r>
            <w:r>
              <w:rPr>
                <w:rFonts w:ascii="Times New Roman" w:hAnsi="Times New Roman" w:cs="Times New Roman"/>
                <w:noProof/>
              </w:rPr>
              <w:t>tates in 2017. Only two countries recorded rates that are higher than three years earlier: in Austria, the long-term unemployment stood at 1.8% (0.3 percentage points higher than in 2014), while in Finland it stood at 2.1% (an increase of 0.2 percentage po</w:t>
            </w:r>
            <w:r>
              <w:rPr>
                <w:rFonts w:ascii="Times New Roman" w:hAnsi="Times New Roman" w:cs="Times New Roman"/>
                <w:noProof/>
              </w:rPr>
              <w:t xml:space="preserve">ints since 2014). Neither increase exceed the scoreboard threshold of 0.5 percentage points. The highest rates of long-term unemployment were observed in Greece (15.6%), Spain (7.7%), Italy (6.5%), and Slovakia (5.1%). </w:t>
            </w:r>
            <w:r>
              <w:rPr>
                <w:rFonts w:ascii="Times New Roman" w:hAnsi="Times New Roman" w:cs="Times New Roman"/>
                <w:iCs/>
                <w:noProof/>
              </w:rPr>
              <w:t>The</w:t>
            </w:r>
            <w:r>
              <w:rPr>
                <w:rFonts w:ascii="Times New Roman" w:hAnsi="Times New Roman" w:cs="Times New Roman"/>
                <w:i/>
                <w:iCs/>
                <w:noProof/>
              </w:rPr>
              <w:t xml:space="preserve"> youth unemployment</w:t>
            </w:r>
            <w:r>
              <w:rPr>
                <w:rFonts w:ascii="Times New Roman" w:hAnsi="Times New Roman" w:cs="Times New Roman"/>
                <w:iCs/>
                <w:noProof/>
              </w:rPr>
              <w:t xml:space="preserve"> </w:t>
            </w:r>
            <w:r>
              <w:rPr>
                <w:rFonts w:ascii="Times New Roman" w:hAnsi="Times New Roman" w:cs="Times New Roman"/>
                <w:i/>
                <w:iCs/>
                <w:noProof/>
              </w:rPr>
              <w:t xml:space="preserve">rate </w:t>
            </w:r>
            <w:r>
              <w:rPr>
                <w:rFonts w:ascii="Times New Roman" w:hAnsi="Times New Roman" w:cs="Times New Roman"/>
                <w:noProof/>
              </w:rPr>
              <w:t>fell in a</w:t>
            </w:r>
            <w:r>
              <w:rPr>
                <w:rFonts w:ascii="Times New Roman" w:hAnsi="Times New Roman" w:cs="Times New Roman"/>
                <w:noProof/>
              </w:rPr>
              <w:t>ll EU countries in the three years to 2017. Falls of 10 percentage points or more over the same period were recorded in Bulgaria, Croatia, Cyprus, Portugal, Slovakia, and Spain. Yet the youth unemployment rate is still above 30% in Greece, Italy and Spain,</w:t>
            </w:r>
            <w:r>
              <w:rPr>
                <w:rFonts w:ascii="Times New Roman" w:hAnsi="Times New Roman" w:cs="Times New Roman"/>
                <w:noProof/>
              </w:rPr>
              <w:t xml:space="preserve"> while the share of young people not in employment, education or training is still above 15% in Bulgaria, Croatia, Cyprus, Greece, Italy, and Romania.  </w:t>
            </w:r>
          </w:p>
          <w:p w:rsidR="007E447C" w:rsidRDefault="007E447C">
            <w:pPr>
              <w:autoSpaceDE w:val="0"/>
              <w:autoSpaceDN w:val="0"/>
              <w:adjustRightInd w:val="0"/>
              <w:spacing w:after="0" w:line="240" w:lineRule="auto"/>
              <w:rPr>
                <w:rFonts w:ascii="Times New Roman" w:hAnsi="Times New Roman" w:cs="Times New Roman"/>
                <w:i/>
                <w:iCs/>
                <w:noProof/>
              </w:rPr>
            </w:pPr>
          </w:p>
          <w:p w:rsidR="007E447C" w:rsidRDefault="004D5789">
            <w:pPr>
              <w:autoSpaceDE w:val="0"/>
              <w:autoSpaceDN w:val="0"/>
              <w:adjustRightInd w:val="0"/>
              <w:spacing w:before="120" w:after="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b/>
                <w:noProof/>
              </w:rPr>
              <w:t xml:space="preserve">While improving, the social situation is still a source of concern in various EU countries as </w:t>
            </w:r>
            <w:r>
              <w:rPr>
                <w:rFonts w:ascii="Times New Roman" w:hAnsi="Times New Roman" w:cs="Times New Roman"/>
                <w:b/>
                <w:noProof/>
              </w:rPr>
              <w:t>suggested by standard measures of poverty and deprivation.</w:t>
            </w:r>
            <w:r>
              <w:rPr>
                <w:rFonts w:ascii="Times New Roman" w:hAnsi="Times New Roman" w:cs="Times New Roman"/>
                <w:noProof/>
              </w:rPr>
              <w:t xml:space="preserve"> The share of people at risk of poverty or social exclusion (AROPE) decreased in the EU by one percentage point to 22.5% from 2016 to 2017.</w:t>
            </w:r>
            <w:r>
              <w:rPr>
                <w:rStyle w:val="FootnoteReference"/>
                <w:rFonts w:ascii="Times New Roman" w:hAnsi="Times New Roman" w:cs="Times New Roman"/>
                <w:noProof/>
              </w:rPr>
              <w:footnoteReference w:id="36"/>
            </w:r>
            <w:r>
              <w:rPr>
                <w:rFonts w:ascii="Times New Roman" w:hAnsi="Times New Roman" w:cs="Times New Roman"/>
                <w:noProof/>
              </w:rPr>
              <w:t xml:space="preserve"> This is about one percentage point below the rate observe</w:t>
            </w:r>
            <w:r>
              <w:rPr>
                <w:rFonts w:ascii="Times New Roman" w:hAnsi="Times New Roman" w:cs="Times New Roman"/>
                <w:noProof/>
              </w:rPr>
              <w:t>d at the onset of the crisis and about two percentage points below the peak observed in 2013. Most countries recorded decreases in 2017. Increases were recorded by Austria, Denmark, Luxembourg, and the Netherlands, albeit from comparatively low levels. The</w:t>
            </w:r>
            <w:r>
              <w:rPr>
                <w:rFonts w:ascii="Times New Roman" w:hAnsi="Times New Roman" w:cs="Times New Roman"/>
                <w:noProof/>
              </w:rPr>
              <w:t xml:space="preserve"> level of the AROPE rate varied considerably from 38.9% in Bulgaria, followed by Romania, Greece and Lithuania, to around 12% in Czechia, followed by Finland, Slovakia, and the Netherlands. These overall developments in poverty and social exclusion reflect</w:t>
            </w:r>
            <w:r>
              <w:rPr>
                <w:rFonts w:ascii="Times New Roman" w:hAnsi="Times New Roman" w:cs="Times New Roman"/>
                <w:noProof/>
              </w:rPr>
              <w:t xml:space="preserve"> different evolutions of its various components.</w:t>
            </w:r>
            <w:r>
              <w:rPr>
                <w:rFonts w:ascii="Times New Roman" w:hAnsi="Times New Roman" w:cs="Times New Roman"/>
                <w:b/>
                <w:noProof/>
              </w:rPr>
              <w:t xml:space="preserve"> </w:t>
            </w:r>
            <w:r>
              <w:rPr>
                <w:rFonts w:ascii="Times New Roman" w:hAnsi="Times New Roman" w:cs="Times New Roman"/>
                <w:noProof/>
              </w:rPr>
              <w:t xml:space="preserve">The share of people at risk of poverty (AROP) has increased in some Member States, while it has decreased in others in recent years: the largest increases over a three-year period were recorded in Lithuania </w:t>
            </w:r>
            <w:r>
              <w:rPr>
                <w:rFonts w:ascii="Times New Roman" w:hAnsi="Times New Roman" w:cs="Times New Roman"/>
                <w:noProof/>
              </w:rPr>
              <w:t xml:space="preserve">(3.8 percentage points) and Luxembourg (2.3), while a significant decrease was recorded in Greece (1.9) and Poland (2.0). In contrast, severe material deprivation (SMD) declined over a 3-year period (and also in 2017) in most EU Member States; it declined </w:t>
            </w:r>
            <w:r>
              <w:rPr>
                <w:rFonts w:ascii="Times New Roman" w:hAnsi="Times New Roman" w:cs="Times New Roman"/>
                <w:noProof/>
              </w:rPr>
              <w:t>over 5 percentage points over a three-year period in Hungary, Latvia, Malta, and Romania. Finally, whereas the recovery brought a decline in the share of people (under 60) living in households with very low work intensity in most countries, that share incr</w:t>
            </w:r>
            <w:r>
              <w:rPr>
                <w:rFonts w:ascii="Times New Roman" w:hAnsi="Times New Roman" w:cs="Times New Roman"/>
                <w:noProof/>
              </w:rPr>
              <w:t>eased in Finland and Lithuania in the three years to 2017; and, in-work poverty stabilised at a peak of 9.6% for the EU as a whole in the last two years.</w:t>
            </w:r>
          </w:p>
        </w:tc>
      </w:tr>
    </w:tbl>
    <w:p w:rsidR="007E447C" w:rsidRDefault="004D5789">
      <w:pP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br w:type="page"/>
      </w:r>
    </w:p>
    <w:p w:rsidR="007E447C" w:rsidRDefault="004D5789">
      <w:pPr>
        <w:rPr>
          <w:rFonts w:ascii="Times New Roman Bold" w:eastAsia="MS Gothic" w:hAnsi="Times New Roman Bold" w:cs="Times New Roman" w:hint="eastAsia"/>
          <w:b/>
          <w:bCs/>
          <w:smallCaps/>
          <w:noProof/>
          <w:lang w:eastAsia="en-GB"/>
        </w:rPr>
      </w:pPr>
      <w:r>
        <w:rPr>
          <w:rFonts w:ascii="Times New Roman Bold" w:eastAsia="MS Gothic" w:hAnsi="Times New Roman Bold" w:cs="Times New Roman"/>
          <w:b/>
          <w:bCs/>
          <w:smallCaps/>
          <w:noProof/>
          <w:lang w:eastAsia="en-GB"/>
        </w:rPr>
        <w:t>3.</w:t>
      </w:r>
      <w:r>
        <w:rPr>
          <w:rFonts w:ascii="Times New Roman Bold" w:eastAsia="MS Gothic" w:hAnsi="Times New Roman Bold" w:cs="Times New Roman"/>
          <w:b/>
          <w:bCs/>
          <w:smallCaps/>
          <w:noProof/>
          <w:lang w:eastAsia="en-GB"/>
        </w:rPr>
        <w:tab/>
        <w:t>summary of main challenges across member states cases and surveillance implications</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Overall, ris</w:t>
      </w:r>
      <w:r>
        <w:rPr>
          <w:rFonts w:ascii="Times New Roman" w:eastAsia="Times New Roman" w:hAnsi="Times New Roman" w:cs="Times New Roman"/>
          <w:b/>
          <w:noProof/>
          <w:lang w:eastAsia="en-GB"/>
        </w:rPr>
        <w:t>ks remain present in a number of Member States, and in different combinations.</w:t>
      </w:r>
      <w:r>
        <w:rPr>
          <w:rFonts w:ascii="Times New Roman" w:eastAsia="Times New Roman" w:hAnsi="Times New Roman" w:cs="Times New Roman"/>
          <w:noProof/>
          <w:lang w:eastAsia="en-GB"/>
        </w:rPr>
        <w:t xml:space="preserve"> The degree of severity of the challenges for macroeconomic stability vary significantly across Member States, depending on the nature and extent of vulnerabilities and unsustain</w:t>
      </w:r>
      <w:r>
        <w:rPr>
          <w:rFonts w:ascii="Times New Roman" w:eastAsia="Times New Roman" w:hAnsi="Times New Roman" w:cs="Times New Roman"/>
          <w:noProof/>
          <w:lang w:eastAsia="en-GB"/>
        </w:rPr>
        <w:t>able trends, and the way they interact and combine together. The main sources of risks combine according to a number of typologies summarised as follows:</w:t>
      </w:r>
    </w:p>
    <w:p w:rsidR="007E447C" w:rsidRDefault="004D5789">
      <w:pPr>
        <w:numPr>
          <w:ilvl w:val="0"/>
          <w:numId w:val="2"/>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 number of Member States are mainly affected by </w:t>
      </w:r>
      <w:r>
        <w:rPr>
          <w:rFonts w:ascii="Times New Roman" w:eastAsia="Times New Roman" w:hAnsi="Times New Roman" w:cs="Times New Roman"/>
          <w:i/>
          <w:noProof/>
          <w:lang w:eastAsia="en-GB"/>
        </w:rPr>
        <w:t>multiple and interconnected stock vulnerabilities</w:t>
      </w:r>
      <w:r>
        <w:rPr>
          <w:rFonts w:ascii="Times New Roman" w:eastAsia="Times New Roman" w:hAnsi="Times New Roman" w:cs="Times New Roman"/>
          <w:noProof/>
          <w:lang w:eastAsia="en-GB"/>
        </w:rPr>
        <w:t xml:space="preserve">. This is typically the case for countries that were hit by boom-bust credit cycles coupled with current account reversals that also had implications for that banking sector and government debt. </w:t>
      </w:r>
    </w:p>
    <w:p w:rsidR="007E447C" w:rsidRDefault="004D5789">
      <w:pPr>
        <w:numPr>
          <w:ilvl w:val="1"/>
          <w:numId w:val="2"/>
        </w:numPr>
        <w:spacing w:before="120" w:after="120"/>
        <w:ind w:left="1134"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the case of Cyprus and Greece, elevated debt stocks, and </w:t>
      </w:r>
      <w:r>
        <w:rPr>
          <w:rFonts w:ascii="Times New Roman" w:eastAsia="Times New Roman" w:hAnsi="Times New Roman" w:cs="Times New Roman"/>
          <w:noProof/>
          <w:lang w:eastAsia="en-GB"/>
        </w:rPr>
        <w:t>large negative net international investment positions are coupled with remaining challenges for the financial sector. These countries still confront the issue of addressing significant deleveraging needs in the context of limited fiscal space, high (though</w:t>
      </w:r>
      <w:r>
        <w:rPr>
          <w:rFonts w:ascii="Times New Roman" w:eastAsia="Times New Roman" w:hAnsi="Times New Roman" w:cs="Times New Roman"/>
          <w:noProof/>
          <w:lang w:eastAsia="en-GB"/>
        </w:rPr>
        <w:t xml:space="preserve"> receding) levels of unemployment and modest potential growth. </w:t>
      </w:r>
    </w:p>
    <w:p w:rsidR="007E447C" w:rsidRDefault="004D5789">
      <w:pPr>
        <w:numPr>
          <w:ilvl w:val="1"/>
          <w:numId w:val="2"/>
        </w:numPr>
        <w:spacing w:before="120" w:after="120"/>
        <w:ind w:left="1134"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Croatia, Ireland, Portugal and Spain, vulnerabilities stemming from stock legacy issues are also significant, multiple, and interconnected. In Bulgaria, high corporate indebtedness is coupl</w:t>
      </w:r>
      <w:r>
        <w:rPr>
          <w:rFonts w:ascii="Times New Roman" w:eastAsia="Times New Roman" w:hAnsi="Times New Roman" w:cs="Times New Roman"/>
          <w:noProof/>
          <w:lang w:eastAsia="en-GB"/>
        </w:rPr>
        <w:t>ed with lingering issues with the financial sector. In those countries, stock imbalances are receding on the back of economic expansions, associated in some cases with the re-emergence of cost pressures manifested at the level of housing prices (notably in</w:t>
      </w:r>
      <w:r>
        <w:rPr>
          <w:rFonts w:ascii="Times New Roman" w:eastAsia="Times New Roman" w:hAnsi="Times New Roman" w:cs="Times New Roman"/>
          <w:noProof/>
          <w:lang w:eastAsia="en-GB"/>
        </w:rPr>
        <w:t xml:space="preserve"> Ireland, and, increasingly so, Portugal) as well as stalling gains in cost competitiveness (strong ULC increases recorded in particular in Bulgaria).  </w:t>
      </w:r>
    </w:p>
    <w:p w:rsidR="007E447C" w:rsidRDefault="004D5789">
      <w:pPr>
        <w:numPr>
          <w:ilvl w:val="0"/>
          <w:numId w:val="2"/>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In a few Member States, vulnerabilities are mainly linked to </w:t>
      </w:r>
      <w:r>
        <w:rPr>
          <w:rFonts w:ascii="Times New Roman" w:eastAsia="Times New Roman" w:hAnsi="Times New Roman" w:cs="Times New Roman"/>
          <w:i/>
          <w:noProof/>
          <w:lang w:eastAsia="en-GB"/>
        </w:rPr>
        <w:t>large stocks of general government debt</w:t>
      </w:r>
      <w:r>
        <w:rPr>
          <w:rFonts w:ascii="Times New Roman" w:eastAsia="Times New Roman" w:hAnsi="Times New Roman" w:cs="Times New Roman"/>
          <w:noProof/>
          <w:lang w:eastAsia="en-GB"/>
        </w:rPr>
        <w:t xml:space="preserve"> co</w:t>
      </w:r>
      <w:r>
        <w:rPr>
          <w:rFonts w:ascii="Times New Roman" w:eastAsia="Times New Roman" w:hAnsi="Times New Roman" w:cs="Times New Roman"/>
          <w:noProof/>
          <w:lang w:eastAsia="en-GB"/>
        </w:rPr>
        <w:t xml:space="preserve">upled with concerns relating to </w:t>
      </w:r>
      <w:r>
        <w:rPr>
          <w:rFonts w:ascii="Times New Roman" w:eastAsia="Times New Roman" w:hAnsi="Times New Roman" w:cs="Times New Roman"/>
          <w:i/>
          <w:noProof/>
          <w:lang w:eastAsia="en-GB"/>
        </w:rPr>
        <w:t>potential output growth</w:t>
      </w:r>
      <w:r>
        <w:rPr>
          <w:rFonts w:ascii="Times New Roman" w:eastAsia="Times New Roman" w:hAnsi="Times New Roman" w:cs="Times New Roman"/>
          <w:noProof/>
          <w:lang w:eastAsia="en-GB"/>
        </w:rPr>
        <w:t xml:space="preserve"> and </w:t>
      </w:r>
      <w:r>
        <w:rPr>
          <w:rFonts w:ascii="Times New Roman" w:eastAsia="Times New Roman" w:hAnsi="Times New Roman" w:cs="Times New Roman"/>
          <w:i/>
          <w:noProof/>
          <w:lang w:eastAsia="en-GB"/>
        </w:rPr>
        <w:t>competitiveness</w:t>
      </w:r>
      <w:r>
        <w:rPr>
          <w:rFonts w:ascii="Times New Roman" w:eastAsia="Times New Roman" w:hAnsi="Times New Roman" w:cs="Times New Roman"/>
          <w:noProof/>
          <w:lang w:eastAsia="en-GB"/>
        </w:rPr>
        <w:t>. This is particularly the case for Italy, where vulnerabilities are also linked to the banking sector and the large but recently declining at fast pace stock of NPLs. Belgium and F</w:t>
      </w:r>
      <w:r>
        <w:rPr>
          <w:rFonts w:ascii="Times New Roman" w:eastAsia="Times New Roman" w:hAnsi="Times New Roman" w:cs="Times New Roman"/>
          <w:noProof/>
          <w:lang w:eastAsia="en-GB"/>
        </w:rPr>
        <w:t>rance also face a high general government debt and potential growth issues amidst also compressed competitiveness, but are not confronted with similar potential risks to government debt or stemming from vulnerable banks. In France a comparatively high stoc</w:t>
      </w:r>
      <w:r>
        <w:rPr>
          <w:rFonts w:ascii="Times New Roman" w:eastAsia="Times New Roman" w:hAnsi="Times New Roman" w:cs="Times New Roman"/>
          <w:noProof/>
          <w:lang w:eastAsia="en-GB"/>
        </w:rPr>
        <w:t>k of corporate debt is on the rise. In Belgium, a relatively high stock of household debt is coupled with possibly overvalued house prices.</w:t>
      </w:r>
    </w:p>
    <w:p w:rsidR="007E447C" w:rsidRDefault="004D5789">
      <w:pPr>
        <w:numPr>
          <w:ilvl w:val="0"/>
          <w:numId w:val="2"/>
        </w:numPr>
        <w:spacing w:before="120" w:after="120"/>
        <w:ind w:left="567" w:hanging="425"/>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Some Member States are characterised by </w:t>
      </w:r>
      <w:r>
        <w:rPr>
          <w:rFonts w:ascii="Times New Roman" w:eastAsia="Times New Roman" w:hAnsi="Times New Roman" w:cs="Times New Roman"/>
          <w:i/>
          <w:noProof/>
          <w:lang w:eastAsia="en-GB"/>
        </w:rPr>
        <w:t>large and persistent current account surpluses</w:t>
      </w:r>
      <w:r>
        <w:rPr>
          <w:rFonts w:ascii="Times New Roman" w:eastAsia="Times New Roman" w:hAnsi="Times New Roman" w:cs="Times New Roman"/>
          <w:noProof/>
          <w:lang w:eastAsia="en-GB"/>
        </w:rPr>
        <w:t xml:space="preserve"> that also reflect, to a varying degree, subdued private consumption and investment, in excess of what economic fundamentals would justify. This is the case notably for Germany and the Netherlands. In the case of Germany, it is combined with deleveraging i</w:t>
      </w:r>
      <w:r>
        <w:rPr>
          <w:rFonts w:ascii="Times New Roman" w:eastAsia="Times New Roman" w:hAnsi="Times New Roman" w:cs="Times New Roman"/>
          <w:noProof/>
          <w:lang w:eastAsia="en-GB"/>
        </w:rPr>
        <w:t xml:space="preserve">n all sectors of the economy, even though debt levels are not comparatively high. In the Netherlands, a large surplus is coupled with a high stock of household debt and strong house price growth. The large and persistent surpluses may imply forgone growth </w:t>
      </w:r>
      <w:r>
        <w:rPr>
          <w:rFonts w:ascii="Times New Roman" w:eastAsia="Times New Roman" w:hAnsi="Times New Roman" w:cs="Times New Roman"/>
          <w:noProof/>
          <w:lang w:eastAsia="en-GB"/>
        </w:rPr>
        <w:t>and domestic investment opportunities that bear consequences for the rest of the euro area in a context of still below-target inflation and an external backdrop that is becoming increasingly uncertain and may turn less supportive.</w:t>
      </w:r>
    </w:p>
    <w:p w:rsidR="007E447C" w:rsidRDefault="004D5789">
      <w:pPr>
        <w:numPr>
          <w:ilvl w:val="0"/>
          <w:numId w:val="2"/>
        </w:numPr>
        <w:spacing w:before="120" w:after="120"/>
        <w:ind w:left="567" w:hanging="425"/>
        <w:jc w:val="both"/>
        <w:rPr>
          <w:rFonts w:ascii="Times New Roman" w:eastAsia="Times New Roman" w:hAnsi="Times New Roman" w:cs="Times New Roman"/>
          <w:noProof/>
          <w:lang w:eastAsia="en-GB"/>
        </w:rPr>
      </w:pPr>
      <w:r>
        <w:rPr>
          <w:rFonts w:ascii="Times New Roman" w:hAnsi="Times New Roman" w:cs="Times New Roman"/>
          <w:noProof/>
        </w:rPr>
        <w:t xml:space="preserve">In some Member States, </w:t>
      </w:r>
      <w:r>
        <w:rPr>
          <w:rFonts w:ascii="Times New Roman" w:hAnsi="Times New Roman" w:cs="Times New Roman"/>
          <w:i/>
          <w:noProof/>
        </w:rPr>
        <w:t>de</w:t>
      </w:r>
      <w:r>
        <w:rPr>
          <w:rFonts w:ascii="Times New Roman" w:hAnsi="Times New Roman" w:cs="Times New Roman"/>
          <w:i/>
          <w:noProof/>
        </w:rPr>
        <w:t>velopments in price or cost variables show potential signs of overheating, particularly as regards the housing market or the labour market</w:t>
      </w:r>
      <w:r>
        <w:rPr>
          <w:rFonts w:ascii="Times New Roman" w:hAnsi="Times New Roman" w:cs="Times New Roman"/>
          <w:noProof/>
        </w:rPr>
        <w:t xml:space="preserve">. </w:t>
      </w:r>
    </w:p>
    <w:p w:rsidR="007E447C" w:rsidRDefault="004D5789">
      <w:pPr>
        <w:numPr>
          <w:ilvl w:val="1"/>
          <w:numId w:val="2"/>
        </w:numPr>
        <w:spacing w:before="120" w:after="120"/>
        <w:ind w:left="1134" w:hanging="425"/>
        <w:jc w:val="both"/>
        <w:rPr>
          <w:rFonts w:ascii="Times New Roman" w:eastAsia="Times New Roman" w:hAnsi="Times New Roman" w:cs="Times New Roman"/>
          <w:noProof/>
          <w:lang w:eastAsia="en-GB"/>
        </w:rPr>
      </w:pPr>
      <w:r>
        <w:rPr>
          <w:rFonts w:ascii="Times New Roman" w:hAnsi="Times New Roman" w:cs="Times New Roman"/>
          <w:noProof/>
        </w:rPr>
        <w:t>In Sweden, and to a smaller extent in Austria, Denmark, Luxembourg, the Netherlands, and the United Kingdom sustain</w:t>
      </w:r>
      <w:r>
        <w:rPr>
          <w:rFonts w:ascii="Times New Roman" w:hAnsi="Times New Roman" w:cs="Times New Roman"/>
          <w:noProof/>
        </w:rPr>
        <w:t>ed house price growth has been taking place in a context of possible overvaluation gaps and significant levels of household debt, but recent evidence is pointing at house price decelerations. In a number of countries, strong house price growth is coupled w</w:t>
      </w:r>
      <w:r>
        <w:rPr>
          <w:rFonts w:ascii="Times New Roman" w:hAnsi="Times New Roman" w:cs="Times New Roman"/>
          <w:noProof/>
        </w:rPr>
        <w:t xml:space="preserve">ith more limited evidence of overvaluation and contained household debt stocks (e.g., Czechia, Hungary, and Latvia). </w:t>
      </w:r>
    </w:p>
    <w:p w:rsidR="007E447C" w:rsidRDefault="004D5789">
      <w:pPr>
        <w:numPr>
          <w:ilvl w:val="1"/>
          <w:numId w:val="2"/>
        </w:numPr>
        <w:spacing w:before="120" w:after="120"/>
        <w:ind w:left="1134" w:hanging="425"/>
        <w:jc w:val="both"/>
        <w:rPr>
          <w:rFonts w:ascii="Times New Roman" w:eastAsia="Times New Roman" w:hAnsi="Times New Roman" w:cs="Times New Roman"/>
          <w:noProof/>
          <w:lang w:eastAsia="en-GB"/>
        </w:rPr>
      </w:pPr>
      <w:r>
        <w:rPr>
          <w:rFonts w:ascii="Times New Roman" w:hAnsi="Times New Roman" w:cs="Times New Roman"/>
          <w:noProof/>
        </w:rPr>
        <w:t>In Czechia, Estonia, Hungary, Latvia, Lithuania, and Romania, ULC continue to grow at a relatively strong pace while price competitiveness</w:t>
      </w:r>
      <w:r>
        <w:rPr>
          <w:rFonts w:ascii="Times New Roman" w:hAnsi="Times New Roman" w:cs="Times New Roman"/>
          <w:noProof/>
        </w:rPr>
        <w:t xml:space="preserve"> is edging down. In the case of Romania, accelerating ULC are recorded against the background of a worsening current account balance deficit and pro-cyclical fiscal policies that could exacerbate possible overheating pressures.</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Forthcoming IDRs will help g</w:t>
      </w:r>
      <w:r>
        <w:rPr>
          <w:rFonts w:ascii="Times New Roman" w:eastAsia="Times New Roman" w:hAnsi="Times New Roman" w:cs="Times New Roman"/>
          <w:noProof/>
          <w:lang w:eastAsia="en-GB"/>
        </w:rPr>
        <w:t xml:space="preserve">oing deeper into the analysis of those challenges and assessing policy needs.  </w:t>
      </w:r>
    </w:p>
    <w:p w:rsidR="007E447C" w:rsidRDefault="004D5789">
      <w:pPr>
        <w:spacing w:before="120" w:after="120"/>
        <w:jc w:val="both"/>
        <w:rPr>
          <w:rFonts w:ascii="Times New Roman" w:eastAsia="Times New Roman" w:hAnsi="Times New Roman" w:cs="Times New Roman"/>
          <w:noProof/>
          <w:lang w:eastAsia="en-GB"/>
        </w:rPr>
      </w:pPr>
      <w:r>
        <w:rPr>
          <w:rFonts w:ascii="Times New Roman" w:eastAsia="Times New Roman" w:hAnsi="Times New Roman" w:cs="Times New Roman"/>
          <w:b/>
          <w:noProof/>
          <w:lang w:eastAsia="en-GB"/>
        </w:rPr>
        <w:t>Overall, IDRs are warranted for 13 Member States: Bulgaria, Croatia, Cyprus, France, Germany, Greece, Ireland, Italy, the Netherlands, Portugal, Romania, Spain, and Sweden.</w:t>
      </w:r>
      <w:r>
        <w:rPr>
          <w:rFonts w:ascii="Times New Roman" w:eastAsia="Times New Roman" w:hAnsi="Times New Roman" w:cs="Times New Roman"/>
          <w:noProof/>
          <w:lang w:eastAsia="en-GB"/>
        </w:rPr>
        <w:t xml:space="preserve"> Ele</w:t>
      </w:r>
      <w:r>
        <w:rPr>
          <w:rFonts w:ascii="Times New Roman" w:eastAsia="Times New Roman" w:hAnsi="Times New Roman" w:cs="Times New Roman"/>
          <w:noProof/>
          <w:lang w:eastAsia="en-GB"/>
        </w:rPr>
        <w:t>ven of these Member States were subject to an IDR in the previous annual cycle of MIP implementation. Following established practice, a new IDR will be prepared to assess if the imbalances identified are aggravating or are under correction, with the view t</w:t>
      </w:r>
      <w:r>
        <w:rPr>
          <w:rFonts w:ascii="Times New Roman" w:eastAsia="Times New Roman" w:hAnsi="Times New Roman" w:cs="Times New Roman"/>
          <w:noProof/>
          <w:lang w:eastAsia="en-GB"/>
        </w:rPr>
        <w:t>o update existing assessment. The Member States concerned are Bulgaria, Croatia, Cyprus, France, Germany, Ireland, Italy, the Netherlands, Portugal, Spain, and Sweden. An IDR will also be issued for Greece, to assess possible imbalances stemming from a num</w:t>
      </w:r>
      <w:r>
        <w:rPr>
          <w:rFonts w:ascii="Times New Roman" w:eastAsia="Times New Roman" w:hAnsi="Times New Roman" w:cs="Times New Roman"/>
          <w:noProof/>
          <w:lang w:eastAsia="en-GB"/>
        </w:rPr>
        <w:t>ber of sources, notably stock vulnerabilities. Greece was previously excluded from MIP surveillance because subject to a macroeconomic adjustment programme in the context of financial assistance until August 2018. The AMR assessment does not point to signi</w:t>
      </w:r>
      <w:r>
        <w:rPr>
          <w:rFonts w:ascii="Times New Roman" w:eastAsia="Times New Roman" w:hAnsi="Times New Roman" w:cs="Times New Roman"/>
          <w:noProof/>
          <w:lang w:eastAsia="en-GB"/>
        </w:rPr>
        <w:t>ficant additional risks as compared to the ones identified in the last available IDRs for a number of Member States that exited MIP surveillance in recent years (Slovenia in 2018, Finland in 2017, Belgium and Hungary in 2016) or that were subject to IDRs n</w:t>
      </w:r>
      <w:r>
        <w:rPr>
          <w:rFonts w:ascii="Times New Roman" w:eastAsia="Times New Roman" w:hAnsi="Times New Roman" w:cs="Times New Roman"/>
          <w:noProof/>
          <w:lang w:eastAsia="en-GB"/>
        </w:rPr>
        <w:t>ot leading to the identification of imbalances (Austria and Estonia in 2016). It seems warranted instead to carry out an IDR for Romania to assess the evolution and possible re-emergence of risky developments identified already in previous IDRs, notably in</w:t>
      </w:r>
      <w:r>
        <w:rPr>
          <w:rFonts w:ascii="Times New Roman" w:eastAsia="Times New Roman" w:hAnsi="Times New Roman" w:cs="Times New Roman"/>
          <w:noProof/>
          <w:lang w:eastAsia="en-GB"/>
        </w:rPr>
        <w:t xml:space="preserve"> relation to competitiveness and external balance. </w:t>
      </w:r>
    </w:p>
    <w:p w:rsidR="007E447C" w:rsidRDefault="007E447C">
      <w:pPr>
        <w:rPr>
          <w:rFonts w:ascii="Times New Roman" w:hAnsi="Times New Roman" w:cs="Times New Roman"/>
          <w:noProof/>
        </w:rPr>
      </w:pPr>
    </w:p>
    <w:p w:rsidR="007E447C" w:rsidRDefault="004D5789">
      <w:pPr>
        <w:rPr>
          <w:rFonts w:ascii="Times New Roman" w:hAnsi="Times New Roman" w:cs="Times New Roman"/>
          <w:b/>
          <w:noProof/>
        </w:rPr>
      </w:pPr>
      <w:r>
        <w:rPr>
          <w:rFonts w:ascii="Times New Roman" w:hAnsi="Times New Roman" w:cs="Times New Roman"/>
          <w:b/>
          <w:noProof/>
        </w:rPr>
        <w:br w:type="page"/>
      </w:r>
    </w:p>
    <w:p w:rsidR="007E447C" w:rsidRDefault="004D5789">
      <w:pPr>
        <w:pStyle w:val="Heading1"/>
        <w:rPr>
          <w:rFonts w:hint="eastAsia"/>
        </w:rPr>
      </w:pPr>
      <w:r>
        <w:t>4.</w:t>
      </w:r>
      <w:r>
        <w:tab/>
        <w:t>Imbalances, Risks and Adjustment: Member State-specific commentaries</w:t>
      </w:r>
    </w:p>
    <w:p w:rsidR="007E447C" w:rsidRDefault="007E447C">
      <w:pPr>
        <w:spacing w:after="160" w:line="259" w:lineRule="auto"/>
        <w:rPr>
          <w:rFonts w:ascii="Times New Roman" w:eastAsia="Calibri" w:hAnsi="Times New Roman" w:cs="Times New Roman"/>
          <w:b/>
          <w:noProof/>
        </w:rPr>
      </w:pP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88960" behindDoc="0" locked="0" layoutInCell="1" allowOverlap="1">
            <wp:simplePos x="0" y="0"/>
            <wp:positionH relativeFrom="column">
              <wp:posOffset>3238500</wp:posOffset>
            </wp:positionH>
            <wp:positionV relativeFrom="paragraph">
              <wp:posOffset>471805</wp:posOffset>
            </wp:positionV>
            <wp:extent cx="2521585" cy="296481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1585" cy="2964815"/>
                    </a:xfrm>
                    <a:prstGeom prst="rect">
                      <a:avLst/>
                    </a:prstGeom>
                    <a:noFill/>
                    <a:ln>
                      <a:noFill/>
                    </a:ln>
                  </pic:spPr>
                </pic:pic>
              </a:graphicData>
            </a:graphic>
          </wp:anchor>
        </w:drawing>
      </w:r>
      <w:r>
        <w:rPr>
          <w:rFonts w:ascii="Times New Roman" w:eastAsia="Calibri" w:hAnsi="Times New Roman" w:cs="Times New Roman"/>
          <w:b/>
          <w:noProof/>
        </w:rPr>
        <w:t>Belgium:</w:t>
      </w:r>
      <w:r>
        <w:rPr>
          <w:rFonts w:ascii="Times New Roman" w:eastAsia="Calibri" w:hAnsi="Times New Roman" w:cs="Times New Roman"/>
          <w:noProof/>
        </w:rPr>
        <w:t xml:space="preserve"> 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Belgium. In the updated scoreboard, a number of indicators are beyond the indicative threshold, namely private debt and government debt. </w:t>
      </w:r>
    </w:p>
    <w:p w:rsidR="007E447C" w:rsidRDefault="004D5789">
      <w:pPr>
        <w:spacing w:after="120" w:line="300" w:lineRule="atLeast"/>
        <w:jc w:val="both"/>
        <w:rPr>
          <w:rFonts w:ascii="Times New Roman" w:eastAsia="Calibri" w:hAnsi="Times New Roman" w:cs="Times New Roman"/>
          <w:noProof/>
        </w:rPr>
      </w:pPr>
      <w:r>
        <w:rPr>
          <w:rFonts w:ascii="Times New Roman" w:eastAsia="Times New Roman" w:hAnsi="Times New Roman" w:cs="Times New Roman"/>
          <w:noProof/>
          <w:lang w:eastAsia="en-GB"/>
        </w:rPr>
        <w:t>External sustainability is underpinned by an improving current account balance and a favourable ne</w:t>
      </w:r>
      <w:r>
        <w:rPr>
          <w:rFonts w:ascii="Times New Roman" w:eastAsia="Times New Roman" w:hAnsi="Times New Roman" w:cs="Times New Roman"/>
          <w:noProof/>
          <w:lang w:eastAsia="en-GB"/>
        </w:rPr>
        <w:t>t international investment position. After some years of wage moderation unit labour cost growth has increased but remains contained. A limited decrease in export market share was recorded in 2017. Private debt is relatively high, in particular for non-fin</w:t>
      </w:r>
      <w:r>
        <w:rPr>
          <w:rFonts w:ascii="Times New Roman" w:eastAsia="Times New Roman" w:hAnsi="Times New Roman" w:cs="Times New Roman"/>
          <w:noProof/>
          <w:lang w:eastAsia="en-GB"/>
        </w:rPr>
        <w:t>ancial corporates, though widespread cross-country</w:t>
      </w:r>
      <w:r>
        <w:rPr>
          <w:rFonts w:ascii="Times New Roman" w:eastAsia="Calibri" w:hAnsi="Times New Roman" w:cs="Times New Roman"/>
          <w:noProof/>
        </w:rPr>
        <w:t xml:space="preserve"> intra-group lending inflates debt figures. Risks related to household debt originate predominantly from the housing market</w:t>
      </w:r>
      <w:r>
        <w:rPr>
          <w:rFonts w:ascii="Times New Roman" w:eastAsia="Times New Roman" w:hAnsi="Times New Roman" w:cs="Times New Roman"/>
          <w:noProof/>
          <w:lang w:eastAsia="en-GB"/>
        </w:rPr>
        <w:t xml:space="preserve"> where real house price growth has been moderate in recent years although no correc</w:t>
      </w:r>
      <w:r>
        <w:rPr>
          <w:rFonts w:ascii="Times New Roman" w:eastAsia="Times New Roman" w:hAnsi="Times New Roman" w:cs="Times New Roman"/>
          <w:noProof/>
          <w:lang w:eastAsia="en-GB"/>
        </w:rPr>
        <w:t xml:space="preserve">tion has taken place for the fast increase prior to 2008. Government debt has levelled off and it has slightly decreased compared to its 2014 </w:t>
      </w:r>
      <w:r>
        <w:rPr>
          <w:rFonts w:ascii="Times New Roman" w:eastAsia="Calibri" w:hAnsi="Times New Roman" w:cs="Times New Roman"/>
          <w:noProof/>
        </w:rPr>
        <w:t xml:space="preserve">peak. However, </w:t>
      </w:r>
      <w:r>
        <w:rPr>
          <w:rFonts w:ascii="Times New Roman" w:eastAsia="Times New Roman" w:hAnsi="Times New Roman" w:cs="Times New Roman"/>
          <w:noProof/>
          <w:lang w:eastAsia="en-GB"/>
        </w:rPr>
        <w:t>the elevated level continues to represent a major challenge for the long-term sustainability of pub</w:t>
      </w:r>
      <w:r>
        <w:rPr>
          <w:rFonts w:ascii="Times New Roman" w:eastAsia="Times New Roman" w:hAnsi="Times New Roman" w:cs="Times New Roman"/>
          <w:noProof/>
          <w:lang w:eastAsia="en-GB"/>
        </w:rPr>
        <w:t xml:space="preserve">lic finances. The labour market situation has improved with unemployment continuing to fall, including long-term and youth unemployment. </w:t>
      </w:r>
      <w:r>
        <w:rPr>
          <w:rFonts w:ascii="Times New Roman" w:eastAsia="Times New Roman" w:hAnsi="Times New Roman" w:cs="Times New Roman"/>
          <w:iCs/>
          <w:noProof/>
          <w:lang w:eastAsia="en-GB"/>
        </w:rPr>
        <w:t>The activity rate remains low compared to other EU countries in contrast with the high and increasing vacancy rate.</w:t>
      </w:r>
    </w:p>
    <w:p w:rsidR="007E447C" w:rsidRDefault="004D5789">
      <w:pPr>
        <w:spacing w:after="120" w:line="300" w:lineRule="atLeast"/>
        <w:jc w:val="both"/>
        <w:rPr>
          <w:rFonts w:ascii="Times New Roman" w:eastAsia="Calibri" w:hAnsi="Times New Roman" w:cs="Times New Roman"/>
          <w:i/>
          <w:noProof/>
        </w:rPr>
      </w:pPr>
      <w:r>
        <w:rPr>
          <w:rFonts w:ascii="Times New Roman" w:eastAsia="Calibri" w:hAnsi="Times New Roman" w:cs="Times New Roman"/>
          <w:i/>
          <w:noProof/>
        </w:rPr>
        <w:t>Ove</w:t>
      </w:r>
      <w:r>
        <w:rPr>
          <w:rFonts w:ascii="Times New Roman" w:eastAsia="Calibri" w:hAnsi="Times New Roman" w:cs="Times New Roman"/>
          <w:i/>
          <w:noProof/>
        </w:rPr>
        <w:t>rall, the economic reading highlights issues relating to mainly to public but also private indebtedness though risks appears contained. Therefore, the Commission will at this stage not carry out further in-depth analysis in the context of the MIP.</w:t>
      </w:r>
    </w:p>
    <w:p w:rsidR="007E447C" w:rsidRDefault="007E447C">
      <w:pPr>
        <w:spacing w:after="120" w:line="300" w:lineRule="atLeast"/>
        <w:jc w:val="both"/>
        <w:rPr>
          <w:rFonts w:ascii="Times New Roman" w:eastAsia="Calibri" w:hAnsi="Times New Roman" w:cs="Times New Roman"/>
          <w:noProof/>
        </w:rPr>
      </w:pPr>
    </w:p>
    <w:p w:rsidR="007E447C" w:rsidRDefault="004D5789">
      <w:pPr>
        <w:spacing w:after="160"/>
        <w:jc w:val="both"/>
        <w:rPr>
          <w:noProof/>
        </w:rPr>
      </w:pPr>
      <w:r>
        <w:rPr>
          <w:noProof/>
          <w:lang w:eastAsia="en-GB"/>
        </w:rPr>
        <w:drawing>
          <wp:anchor distT="0" distB="0" distL="114300" distR="114300" simplePos="0" relativeHeight="251700224" behindDoc="0" locked="0" layoutInCell="1" allowOverlap="1">
            <wp:simplePos x="0" y="0"/>
            <wp:positionH relativeFrom="column">
              <wp:posOffset>3202940</wp:posOffset>
            </wp:positionH>
            <wp:positionV relativeFrom="paragraph">
              <wp:posOffset>5715</wp:posOffset>
            </wp:positionV>
            <wp:extent cx="2552700" cy="286702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Bulgar</w:t>
      </w:r>
      <w:r>
        <w:rPr>
          <w:rFonts w:ascii="Times New Roman" w:eastAsia="Calibri" w:hAnsi="Times New Roman" w:cs="Times New Roman"/>
          <w:b/>
          <w:noProof/>
        </w:rPr>
        <w:t>ia</w:t>
      </w:r>
      <w:r>
        <w:rPr>
          <w:rFonts w:ascii="Times New Roman" w:eastAsia="Calibri" w:hAnsi="Times New Roman" w:cs="Times New Roman"/>
          <w:b/>
          <w:i/>
          <w:noProof/>
        </w:rPr>
        <w:t xml:space="preserve">: </w:t>
      </w:r>
      <w:r>
        <w:rPr>
          <w:rFonts w:ascii="Times New Roman" w:eastAsia="Calibri" w:hAnsi="Times New Roman" w:cs="Times New Roman"/>
          <w:noProof/>
        </w:rPr>
        <w:t xml:space="preserve">In March 2018, Bulgaria was found to be experiencing </w:t>
      </w:r>
      <w:r>
        <w:rPr>
          <w:rFonts w:ascii="Times New Roman" w:eastAsia="Calibri" w:hAnsi="Times New Roman" w:cs="Times New Roman"/>
          <w:i/>
          <w:noProof/>
        </w:rPr>
        <w:t>imbalances</w:t>
      </w:r>
      <w:r>
        <w:rPr>
          <w:rFonts w:ascii="Times New Roman" w:eastAsia="Calibri" w:hAnsi="Times New Roman" w:cs="Times New Roman"/>
          <w:noProof/>
        </w:rPr>
        <w:t xml:space="preserve"> in particular related to vulnerabilities in the financial sector coupled with high indebtedness and non-performing loans in the corporate sector. In the updated scoreboard, three indicator</w:t>
      </w:r>
      <w:r>
        <w:rPr>
          <w:rFonts w:ascii="Times New Roman" w:eastAsia="Calibri" w:hAnsi="Times New Roman" w:cs="Times New Roman"/>
          <w:noProof/>
        </w:rPr>
        <w:t xml:space="preserve">s are beyond the indicative threshold, namely the net international investment position (NIIP), nominal unit labour cost growth and real house price growth. </w:t>
      </w:r>
    </w:p>
    <w:p w:rsidR="007E447C" w:rsidRDefault="004D5789">
      <w:pPr>
        <w:spacing w:after="160"/>
        <w:jc w:val="both"/>
        <w:rPr>
          <w:noProof/>
        </w:rPr>
      </w:pPr>
      <w:r>
        <w:rPr>
          <w:rFonts w:ascii="Times New Roman" w:eastAsia="Calibri" w:hAnsi="Times New Roman" w:cs="Times New Roman"/>
          <w:noProof/>
        </w:rPr>
        <w:t>The current account surplus further increased in 2017, while the negative NIIP mainly reflects FDI</w:t>
      </w:r>
      <w:r>
        <w:rPr>
          <w:rFonts w:ascii="Times New Roman" w:eastAsia="Calibri" w:hAnsi="Times New Roman" w:cs="Times New Roman"/>
          <w:noProof/>
        </w:rPr>
        <w:t xml:space="preserve"> has improved further. Unit labour cost growth increased markedly in 2017, but the real effective exchange rate remained broadly stable and there were some gains in export market shares. High corporate debt continues to be a concern, although the debt rati</w:t>
      </w:r>
      <w:r>
        <w:rPr>
          <w:rFonts w:ascii="Times New Roman" w:eastAsia="Calibri" w:hAnsi="Times New Roman" w:cs="Times New Roman"/>
          <w:noProof/>
        </w:rPr>
        <w:t>o has gradually decreased over the last few years, in part due to the robust nominal GDP growth. Credit flows are picking up again, which will slow down the deleveraging process, but could also support higher private investment and stronger potential growt</w:t>
      </w:r>
      <w:r>
        <w:rPr>
          <w:rFonts w:ascii="Times New Roman" w:eastAsia="Calibri" w:hAnsi="Times New Roman" w:cs="Times New Roman"/>
          <w:noProof/>
        </w:rPr>
        <w:t>h. Also, the ratio of non-performing loans, albeit decreasing, remains high, in particular for the corporate sector. While there has been progress in improving financial sector supervision following the 2016 asset quality review, some vulnerabilities still</w:t>
      </w:r>
      <w:r>
        <w:rPr>
          <w:rFonts w:ascii="Times New Roman" w:eastAsia="Calibri" w:hAnsi="Times New Roman" w:cs="Times New Roman"/>
          <w:noProof/>
        </w:rPr>
        <w:t xml:space="preserve"> warrant attention, including related-party transactions and exposures to hard-to-value assets. Real house prices have increased fast and construction and mortgage credit have also picked up. There are not yet signs of overvaluation at this stage, but the </w:t>
      </w:r>
      <w:r>
        <w:rPr>
          <w:rFonts w:ascii="Times New Roman" w:eastAsia="Calibri" w:hAnsi="Times New Roman" w:cs="Times New Roman"/>
          <w:noProof/>
        </w:rPr>
        <w:t>current dynamics on the housing market justify close attention. In this context of positive cyclical developments, unemployment decreased further, notably for youth and long-term unemployed and activity rates improved.</w:t>
      </w:r>
    </w:p>
    <w:p w:rsidR="007E447C" w:rsidRDefault="004D5789">
      <w:pPr>
        <w:spacing w:after="160"/>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w:t>
      </w:r>
      <w:r>
        <w:rPr>
          <w:rFonts w:ascii="Times New Roman" w:eastAsia="Calibri" w:hAnsi="Times New Roman" w:cs="Times New Roman"/>
          <w:i/>
          <w:noProof/>
        </w:rPr>
        <w:t xml:space="preserve">hts issues relating to the remaining vulnerabilities in the financial sector and corporate debt. Therefore, the Commission finds it opportune, also taking into account the identification of an imbalance in March 2018, to examine further the persistence of </w:t>
      </w:r>
      <w:r>
        <w:rPr>
          <w:rFonts w:ascii="Times New Roman" w:eastAsia="Calibri" w:hAnsi="Times New Roman" w:cs="Times New Roman"/>
          <w:i/>
          <w:noProof/>
        </w:rPr>
        <w:t>imbalances or their unwinding.</w:t>
      </w:r>
    </w:p>
    <w:p w:rsidR="007E447C" w:rsidRDefault="007E447C">
      <w:pPr>
        <w:spacing w:after="160" w:line="259" w:lineRule="auto"/>
        <w:jc w:val="both"/>
        <w:rPr>
          <w:noProof/>
        </w:rPr>
      </w:pP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t>Czechia:</w:t>
      </w:r>
      <w:r>
        <w:rPr>
          <w:rFonts w:ascii="Times New Roman" w:eastAsia="Calibri" w:hAnsi="Times New Roman" w:cs="Times New Roman"/>
          <w:noProof/>
        </w:rPr>
        <w:t xml:space="preserve"> 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Czechia. In the updated scoreboard, a number of indicators are beyond the indicative threshold, namely real house price growth and tot</w:t>
      </w:r>
      <w:r>
        <w:rPr>
          <w:rFonts w:ascii="Times New Roman" w:eastAsia="Calibri" w:hAnsi="Times New Roman" w:cs="Times New Roman"/>
          <w:noProof/>
        </w:rPr>
        <w:t xml:space="preserve">al financial sector liabilities.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31968" behindDoc="1" locked="0" layoutInCell="1" allowOverlap="1">
            <wp:simplePos x="0" y="0"/>
            <wp:positionH relativeFrom="column">
              <wp:posOffset>3546541</wp:posOffset>
            </wp:positionH>
            <wp:positionV relativeFrom="paragraph">
              <wp:posOffset>9635</wp:posOffset>
            </wp:positionV>
            <wp:extent cx="2202180" cy="2916555"/>
            <wp:effectExtent l="0" t="0" r="7620" b="0"/>
            <wp:wrapTight wrapText="bothSides">
              <wp:wrapPolygon edited="0">
                <wp:start x="187" y="141"/>
                <wp:lineTo x="0" y="2398"/>
                <wp:lineTo x="0" y="21163"/>
                <wp:lineTo x="13453" y="21163"/>
                <wp:lineTo x="18311" y="20739"/>
                <wp:lineTo x="21488" y="19893"/>
                <wp:lineTo x="21488" y="1552"/>
                <wp:lineTo x="19806" y="564"/>
                <wp:lineTo x="17751" y="141"/>
                <wp:lineTo x="187" y="14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2180" cy="2916555"/>
                    </a:xfrm>
                    <a:prstGeom prst="rect">
                      <a:avLst/>
                    </a:prstGeom>
                    <a:noFill/>
                    <a:ln>
                      <a:noFill/>
                    </a:ln>
                  </pic:spPr>
                </pic:pic>
              </a:graphicData>
            </a:graphic>
          </wp:anchor>
        </w:drawing>
      </w:r>
      <w:r>
        <w:rPr>
          <w:rFonts w:ascii="Times New Roman" w:eastAsia="Calibri" w:hAnsi="Times New Roman" w:cs="Times New Roman"/>
          <w:noProof/>
        </w:rPr>
        <w:t>The current account balance has been on an improving trend and recorded a small surplus in 2017. The end of the exchange rate commitment in April 2017 was followed by an appreciation of the real effective exchange rate, while the net international investme</w:t>
      </w:r>
      <w:r>
        <w:rPr>
          <w:rFonts w:ascii="Times New Roman" w:eastAsia="Calibri" w:hAnsi="Times New Roman" w:cs="Times New Roman"/>
          <w:noProof/>
        </w:rPr>
        <w:t>nt position continued to strengthen, although at a slower pace than in previous years. Nominal unit labour costs have increased on the back of strong wage rises and are projected to accelerate further in the context of acute labour market shortages. Despit</w:t>
      </w:r>
      <w:r>
        <w:rPr>
          <w:rFonts w:ascii="Times New Roman" w:eastAsia="Calibri" w:hAnsi="Times New Roman" w:cs="Times New Roman"/>
          <w:noProof/>
        </w:rPr>
        <w:t>e the appreciation of the real effective exchange rate, there still have been some gains in export market shares in recent years. House price growth, and mortgage credit, have accelerated further and warrant close monitoring. However, private sector debt i</w:t>
      </w:r>
      <w:r>
        <w:rPr>
          <w:rFonts w:ascii="Times New Roman" w:eastAsia="Calibri" w:hAnsi="Times New Roman" w:cs="Times New Roman"/>
          <w:noProof/>
        </w:rPr>
        <w:t>s moderate, including household debt which is stable. Government debt is low and continues to reduce supported by the general government budget surplus. Growth of financial sector liabilities accelerated significantly in 2017 to beyond the indicative thres</w:t>
      </w:r>
      <w:r>
        <w:rPr>
          <w:rFonts w:ascii="Times New Roman" w:eastAsia="Calibri" w:hAnsi="Times New Roman" w:cs="Times New Roman"/>
          <w:noProof/>
        </w:rPr>
        <w:t xml:space="preserve">hold. This was principally due to the purchasing of CZK-denominated deposits by non-residents prior to the end of the exchange rate commitment. The unemployment rate decreased further and the labour market is very tight.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w:t>
      </w:r>
      <w:r>
        <w:rPr>
          <w:rFonts w:ascii="Times New Roman" w:eastAsia="Calibri" w:hAnsi="Times New Roman" w:cs="Times New Roman"/>
          <w:i/>
          <w:noProof/>
        </w:rPr>
        <w:t xml:space="preserve">lights issues relating to competitiveness and pressures in the housing market although the risks appear contained at this stage. Therefore, the Commission does not see it necessary at this stage to carry out further in-depth analysis in the context of the </w:t>
      </w:r>
      <w:r>
        <w:rPr>
          <w:rFonts w:ascii="Times New Roman" w:eastAsia="Calibri" w:hAnsi="Times New Roman" w:cs="Times New Roman"/>
          <w:i/>
          <w:noProof/>
        </w:rPr>
        <w:t>MIP.</w:t>
      </w:r>
    </w:p>
    <w:p w:rsidR="007E447C" w:rsidRDefault="007E447C">
      <w:pPr>
        <w:spacing w:after="160" w:line="259" w:lineRule="auto"/>
        <w:rPr>
          <w:rFonts w:ascii="Times New Roman" w:eastAsia="Calibri" w:hAnsi="Times New Roman" w:cs="Times New Roman"/>
          <w:b/>
          <w:noProof/>
        </w:rPr>
      </w:pPr>
    </w:p>
    <w:p w:rsidR="007E447C" w:rsidRDefault="004D5789">
      <w:pPr>
        <w:spacing w:after="160" w:line="259" w:lineRule="auto"/>
        <w:jc w:val="both"/>
        <w:rPr>
          <w:noProof/>
        </w:rPr>
      </w:pPr>
      <w:r>
        <w:rPr>
          <w:rFonts w:ascii="Times New Roman" w:eastAsia="Calibri" w:hAnsi="Times New Roman" w:cs="Times New Roman"/>
          <w:b/>
          <w:noProof/>
        </w:rPr>
        <w:t>Denmark</w:t>
      </w:r>
      <w:r>
        <w:rPr>
          <w:rFonts w:ascii="Times New Roman" w:eastAsia="Calibri" w:hAnsi="Times New Roman" w:cs="Times New Roman"/>
          <w:b/>
          <w:i/>
          <w:noProof/>
        </w:rPr>
        <w:t>:</w:t>
      </w:r>
      <w:r>
        <w:rPr>
          <w:rFonts w:ascii="Times New Roman" w:eastAsia="Calibri" w:hAnsi="Times New Roman" w:cs="Times New Roman"/>
          <w:i/>
          <w:noProof/>
        </w:rPr>
        <w:t xml:space="preserve"> </w:t>
      </w:r>
      <w:r>
        <w:rPr>
          <w:rFonts w:ascii="Times New Roman" w:eastAsia="Calibri" w:hAnsi="Times New Roman" w:cs="Times New Roman"/>
          <w:noProof/>
        </w:rPr>
        <w:t xml:space="preserve">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Denmark. In the updated scoreboard, a number of indicators are beyond the indicative threshold, namely the current account balance and the private sector debt.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27872" behindDoc="0" locked="0" layoutInCell="1" allowOverlap="1">
            <wp:simplePos x="0" y="0"/>
            <wp:positionH relativeFrom="column">
              <wp:posOffset>3241724</wp:posOffset>
            </wp:positionH>
            <wp:positionV relativeFrom="paragraph">
              <wp:posOffset>11332</wp:posOffset>
            </wp:positionV>
            <wp:extent cx="2523490" cy="2857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349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balance continues to show large surpluses. Consecutive surpluses have led to a large positive net international investment position, generating positive net primary income which reinforces the positive current account balance. Unit la</w:t>
      </w:r>
      <w:r>
        <w:rPr>
          <w:rFonts w:ascii="Times New Roman" w:eastAsia="Calibri" w:hAnsi="Times New Roman" w:cs="Times New Roman"/>
          <w:noProof/>
        </w:rPr>
        <w:t xml:space="preserve">bour cost growth is contained even if a tighter labour market puts pressure on wages and productivity dynamics are muted. Export market share growth is broadly flat. While slowing at the national level, housing prices continued to grow more quickly in the </w:t>
      </w:r>
      <w:r>
        <w:rPr>
          <w:rFonts w:ascii="Times New Roman" w:eastAsia="Calibri" w:hAnsi="Times New Roman" w:cs="Times New Roman"/>
          <w:noProof/>
        </w:rPr>
        <w:t xml:space="preserve">main metropolitan areas. These developments warrant close attention. Household debt remains the highest in the EU as percentage of GDP and is only slowly decreasing in a context of modest credit growth. Households have continued to increase their savings, </w:t>
      </w:r>
      <w:r>
        <w:rPr>
          <w:rFonts w:ascii="Times New Roman" w:eastAsia="Calibri" w:hAnsi="Times New Roman" w:cs="Times New Roman"/>
          <w:noProof/>
        </w:rPr>
        <w:t>reflecting efforts to reduce debt and macro-prudential policy measures have been introduced to restrict risky loan taking. Corporate indebtedness, on the other hand, remains moderate. The labour market continues improving, employment growth is solid and la</w:t>
      </w:r>
      <w:r>
        <w:rPr>
          <w:rFonts w:ascii="Times New Roman" w:eastAsia="Calibri" w:hAnsi="Times New Roman" w:cs="Times New Roman"/>
          <w:noProof/>
        </w:rPr>
        <w:t>bour shortages are becoming more widespread.</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i/>
          <w:noProof/>
        </w:rPr>
        <w:t>Overall, the economic reading highlights issues related to the current account, the private debt and the housing sector but risks appear contained. Therefore, the Commission will at this stage not carry out furt</w:t>
      </w:r>
      <w:r>
        <w:rPr>
          <w:rFonts w:ascii="Times New Roman" w:eastAsia="Calibri" w:hAnsi="Times New Roman" w:cs="Times New Roman"/>
          <w:i/>
          <w:noProof/>
        </w:rPr>
        <w:t>her in-depth analysis in the context of the MIP.</w:t>
      </w:r>
    </w:p>
    <w:p w:rsidR="007E447C" w:rsidRDefault="007E447C">
      <w:pPr>
        <w:spacing w:after="160" w:line="259" w:lineRule="auto"/>
        <w:jc w:val="both"/>
        <w:rPr>
          <w:rFonts w:ascii="Times New Roman" w:eastAsia="Calibri" w:hAnsi="Times New Roman" w:cs="Times New Roman"/>
          <w:noProof/>
        </w:rPr>
      </w:pPr>
    </w:p>
    <w:p w:rsidR="007E447C" w:rsidRDefault="004D5789">
      <w:pPr>
        <w:spacing w:after="160" w:line="259" w:lineRule="auto"/>
        <w:jc w:val="both"/>
        <w:rPr>
          <w:noProof/>
        </w:rPr>
      </w:pPr>
      <w:r>
        <w:rPr>
          <w:noProof/>
          <w:lang w:eastAsia="en-GB"/>
        </w:rPr>
        <w:drawing>
          <wp:anchor distT="0" distB="0" distL="114300" distR="114300" simplePos="0" relativeHeight="251726848" behindDoc="0" locked="0" layoutInCell="1" allowOverlap="1">
            <wp:simplePos x="0" y="0"/>
            <wp:positionH relativeFrom="column">
              <wp:posOffset>3250614</wp:posOffset>
            </wp:positionH>
            <wp:positionV relativeFrom="paragraph">
              <wp:posOffset>12602</wp:posOffset>
            </wp:positionV>
            <wp:extent cx="2514600" cy="291909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Germany</w:t>
      </w:r>
      <w:r>
        <w:rPr>
          <w:rFonts w:ascii="Times New Roman" w:eastAsia="Calibri" w:hAnsi="Times New Roman" w:cs="Times New Roman"/>
          <w:b/>
          <w:i/>
          <w:noProof/>
        </w:rPr>
        <w:t>:</w:t>
      </w:r>
      <w:r>
        <w:rPr>
          <w:rFonts w:ascii="Times New Roman" w:eastAsia="Calibri" w:hAnsi="Times New Roman" w:cs="Times New Roman"/>
          <w:noProof/>
        </w:rPr>
        <w:t xml:space="preserve"> In March 2018, the Commission concluded that Germany was experiencing </w:t>
      </w:r>
      <w:r>
        <w:rPr>
          <w:rFonts w:ascii="Times New Roman" w:eastAsia="Calibri" w:hAnsi="Times New Roman" w:cs="Times New Roman"/>
          <w:i/>
          <w:noProof/>
        </w:rPr>
        <w:t>macroeconomic imbalances</w:t>
      </w:r>
      <w:r>
        <w:rPr>
          <w:rFonts w:ascii="Times New Roman" w:eastAsia="Calibri" w:hAnsi="Times New Roman" w:cs="Times New Roman"/>
          <w:noProof/>
        </w:rPr>
        <w:t>, in particular related to its large current account surplus reflecting subdued investment relative to</w:t>
      </w:r>
      <w:r>
        <w:rPr>
          <w:rFonts w:ascii="Times New Roman" w:eastAsia="Calibri" w:hAnsi="Times New Roman" w:cs="Times New Roman"/>
          <w:noProof/>
        </w:rPr>
        <w:t xml:space="preserve"> saving both in the private and public sector. In the updated scoreboard, a number of indicators remain beyond the indicative threshold, namely the current account balance and government debt. </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The current account continues to show very large surpluses alt</w:t>
      </w:r>
      <w:r>
        <w:rPr>
          <w:rFonts w:ascii="Times New Roman" w:eastAsia="Calibri" w:hAnsi="Times New Roman" w:cs="Times New Roman"/>
          <w:noProof/>
        </w:rPr>
        <w:t>hough it narrowed slightly in 2017 on an annual basis. With steady domestic demand growth, the current account surplus is expected to continue narrowing, but to remain at a high level and lead to further increases in the net international investment positi</w:t>
      </w:r>
      <w:r>
        <w:rPr>
          <w:rFonts w:ascii="Times New Roman" w:eastAsia="Calibri" w:hAnsi="Times New Roman" w:cs="Times New Roman"/>
          <w:noProof/>
        </w:rPr>
        <w:t>on. Unit labour cost growth remains moderate. Export growth strengthened in 2017 but there was a slight loss in export market shares. Private sector deleveraging continues despite low private sector debt. At the same time, business investment is increasing</w:t>
      </w:r>
      <w:r>
        <w:rPr>
          <w:rFonts w:ascii="Times New Roman" w:eastAsia="Calibri" w:hAnsi="Times New Roman" w:cs="Times New Roman"/>
          <w:noProof/>
        </w:rPr>
        <w:t xml:space="preserve"> relative to GDP. Housing investment continues to rise too, but it is still lagging behind housing needs in metropolitan areas. Real house prices growth and construction costs have been increasing and warrant attention, also with respect to regional dispar</w:t>
      </w:r>
      <w:r>
        <w:rPr>
          <w:rFonts w:ascii="Times New Roman" w:eastAsia="Calibri" w:hAnsi="Times New Roman" w:cs="Times New Roman"/>
          <w:noProof/>
        </w:rPr>
        <w:t>ities in prices and availability of housing. Credit growth is gradually strengthening. The household saving rate remains at an elevated level despite moderate wage growth and robust private consumption, reflecting higher inflows of distributed corporate in</w:t>
      </w:r>
      <w:r>
        <w:rPr>
          <w:rFonts w:ascii="Times New Roman" w:eastAsia="Calibri" w:hAnsi="Times New Roman" w:cs="Times New Roman"/>
          <w:noProof/>
        </w:rPr>
        <w:t>come. Government debt continued to decrease and is expected to fall below the threshold of 60% of GDP by 2019 while the sizeable public investment backlog remains. Overall unemployment, as well as youth and long-term unemployment, have further decreased an</w:t>
      </w:r>
      <w:r>
        <w:rPr>
          <w:rFonts w:ascii="Times New Roman" w:eastAsia="Calibri" w:hAnsi="Times New Roman" w:cs="Times New Roman"/>
          <w:noProof/>
        </w:rPr>
        <w:t xml:space="preserve">d remain very low.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the persistent surplus of savings over investment reflected in the high and only gradually declining current account surplus underlining the need for continued rebalancing. The</w:t>
      </w:r>
      <w:r>
        <w:rPr>
          <w:rFonts w:ascii="Times New Roman" w:eastAsia="Calibri" w:hAnsi="Times New Roman" w:cs="Times New Roman"/>
          <w:i/>
          <w:noProof/>
        </w:rPr>
        <w:t xml:space="preserve">refore, the Commission finds it useful, also taking into account the identification of an imbalance in March 2018, to examine further the persistence of imbalances or their unwinding. </w:t>
      </w:r>
    </w:p>
    <w:p w:rsidR="007E447C" w:rsidRDefault="007E447C">
      <w:pPr>
        <w:spacing w:after="160" w:line="259" w:lineRule="auto"/>
        <w:jc w:val="both"/>
        <w:rPr>
          <w:rFonts w:ascii="Times New Roman" w:eastAsia="Calibri" w:hAnsi="Times New Roman" w:cs="Times New Roman"/>
          <w:i/>
          <w:noProof/>
        </w:rPr>
      </w:pPr>
    </w:p>
    <w:p w:rsidR="007E447C" w:rsidRDefault="004D5789">
      <w:pPr>
        <w:spacing w:after="160" w:line="259" w:lineRule="auto"/>
        <w:jc w:val="both"/>
        <w:rPr>
          <w:noProof/>
        </w:rPr>
      </w:pPr>
      <w:r>
        <w:rPr>
          <w:noProof/>
          <w:lang w:eastAsia="en-GB"/>
        </w:rPr>
        <w:drawing>
          <wp:anchor distT="0" distB="0" distL="114300" distR="114300" simplePos="0" relativeHeight="251692032" behindDoc="0" locked="0" layoutInCell="1" allowOverlap="1">
            <wp:simplePos x="0" y="0"/>
            <wp:positionH relativeFrom="column">
              <wp:posOffset>3186430</wp:posOffset>
            </wp:positionH>
            <wp:positionV relativeFrom="paragraph">
              <wp:posOffset>6985</wp:posOffset>
            </wp:positionV>
            <wp:extent cx="2562225" cy="2933700"/>
            <wp:effectExtent l="0" t="0" r="952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22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Estonia:</w:t>
      </w:r>
      <w:r>
        <w:rPr>
          <w:rFonts w:ascii="Times New Roman" w:eastAsia="Calibri" w:hAnsi="Times New Roman" w:cs="Times New Roman"/>
          <w:i/>
          <w:noProof/>
        </w:rPr>
        <w:t xml:space="preserve"> </w:t>
      </w:r>
      <w:r>
        <w:rPr>
          <w:rFonts w:ascii="Times New Roman" w:eastAsia="Calibri" w:hAnsi="Times New Roman" w:cs="Times New Roman"/>
          <w:noProof/>
        </w:rPr>
        <w:t xml:space="preserve">In the previous round of the MIP, </w:t>
      </w:r>
      <w:r>
        <w:rPr>
          <w:rFonts w:ascii="Times New Roman" w:eastAsia="Calibri" w:hAnsi="Times New Roman" w:cs="Times New Roman"/>
          <w:i/>
          <w:noProof/>
        </w:rPr>
        <w:t>no macroeconomic imbalance</w:t>
      </w:r>
      <w:r>
        <w:rPr>
          <w:rFonts w:ascii="Times New Roman" w:eastAsia="Calibri" w:hAnsi="Times New Roman" w:cs="Times New Roman"/>
          <w:i/>
          <w:noProof/>
        </w:rPr>
        <w:t>s</w:t>
      </w:r>
      <w:r>
        <w:rPr>
          <w:rFonts w:ascii="Times New Roman" w:eastAsia="Calibri" w:hAnsi="Times New Roman" w:cs="Times New Roman"/>
          <w:noProof/>
        </w:rPr>
        <w:t xml:space="preserve"> were identified in Estonia. In the updated scoreboard, nominal unit labour cost growth is beyond the indicative threshold. </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The current account surplus further increased in 2017 and the net international investment position improved to reach a level with</w:t>
      </w:r>
      <w:r>
        <w:rPr>
          <w:rFonts w:ascii="Times New Roman" w:eastAsia="Calibri" w:hAnsi="Times New Roman" w:cs="Times New Roman"/>
          <w:noProof/>
        </w:rPr>
        <w:t>in the threshold. Nominal unit labour cost continue grow at a high rate reflecting inflation and the buoyant wage growth. Productivity dynamics have been muted, weighing somewhat on cost competitiveness indicators. The real effective exchange rate continue</w:t>
      </w:r>
      <w:r>
        <w:rPr>
          <w:rFonts w:ascii="Times New Roman" w:eastAsia="Calibri" w:hAnsi="Times New Roman" w:cs="Times New Roman"/>
          <w:noProof/>
        </w:rPr>
        <w:t>d to appreciate while export market shares have been stable. Real house price growth has been dynamic in recent years but has slowed to moderate levels in 2017. Private debt deleveraging has been ongoing while the public debt level is very low.  The labour</w:t>
      </w:r>
      <w:r>
        <w:rPr>
          <w:rFonts w:ascii="Times New Roman" w:eastAsia="Calibri" w:hAnsi="Times New Roman" w:cs="Times New Roman"/>
          <w:noProof/>
        </w:rPr>
        <w:t xml:space="preserve"> market is tightening but inward migration has alleviated the labour shortages to some extent.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related to the nominal unit labour costs but risks appear contained. Therefore, the Commission will at this stag</w:t>
      </w:r>
      <w:r>
        <w:rPr>
          <w:rFonts w:ascii="Times New Roman" w:eastAsia="Calibri" w:hAnsi="Times New Roman" w:cs="Times New Roman"/>
          <w:i/>
          <w:noProof/>
        </w:rPr>
        <w:t>e not carry out further in-depth analysis in the context of the MIP.</w:t>
      </w:r>
    </w:p>
    <w:p w:rsidR="007E447C" w:rsidRDefault="007E447C">
      <w:pPr>
        <w:spacing w:after="160" w:line="259" w:lineRule="auto"/>
        <w:jc w:val="both"/>
        <w:rPr>
          <w:rFonts w:ascii="Times New Roman" w:eastAsia="Calibri" w:hAnsi="Times New Roman" w:cs="Times New Roman"/>
          <w:noProof/>
        </w:rPr>
      </w:pPr>
    </w:p>
    <w:p w:rsidR="007E447C" w:rsidRDefault="007E447C">
      <w:pPr>
        <w:spacing w:after="160" w:line="259" w:lineRule="auto"/>
        <w:jc w:val="both"/>
        <w:rPr>
          <w:rFonts w:ascii="Times New Roman" w:eastAsia="Calibri" w:hAnsi="Times New Roman" w:cs="Times New Roman"/>
          <w:noProof/>
        </w:rPr>
      </w:pPr>
    </w:p>
    <w:p w:rsidR="007E447C" w:rsidRDefault="007E447C">
      <w:pPr>
        <w:spacing w:after="160" w:line="259" w:lineRule="auto"/>
        <w:jc w:val="both"/>
        <w:rPr>
          <w:rFonts w:ascii="Times New Roman" w:eastAsia="Calibri" w:hAnsi="Times New Roman" w:cs="Times New Roman"/>
          <w:noProof/>
        </w:rPr>
      </w:pPr>
    </w:p>
    <w:p w:rsidR="007E447C" w:rsidRDefault="007E447C">
      <w:pPr>
        <w:spacing w:after="160" w:line="259" w:lineRule="auto"/>
        <w:jc w:val="both"/>
        <w:rPr>
          <w:rFonts w:ascii="Times New Roman" w:eastAsia="Calibri" w:hAnsi="Times New Roman" w:cs="Times New Roman"/>
          <w:noProof/>
        </w:rPr>
      </w:pPr>
    </w:p>
    <w:p w:rsidR="007E447C" w:rsidRDefault="007E447C">
      <w:pPr>
        <w:spacing w:after="160" w:line="259" w:lineRule="auto"/>
        <w:jc w:val="both"/>
        <w:rPr>
          <w:rFonts w:ascii="Times New Roman" w:eastAsia="Calibri" w:hAnsi="Times New Roman" w:cs="Times New Roman"/>
          <w:noProof/>
        </w:rPr>
      </w:pPr>
    </w:p>
    <w:p w:rsidR="007E447C" w:rsidRDefault="007E447C">
      <w:pPr>
        <w:spacing w:after="160" w:line="259" w:lineRule="auto"/>
        <w:jc w:val="both"/>
        <w:rPr>
          <w:rFonts w:ascii="Times New Roman" w:eastAsia="Calibri" w:hAnsi="Times New Roman" w:cs="Times New Roman"/>
          <w:noProof/>
        </w:rPr>
      </w:pPr>
    </w:p>
    <w:p w:rsidR="007E447C" w:rsidRDefault="007E447C">
      <w:pPr>
        <w:spacing w:after="160" w:line="259" w:lineRule="auto"/>
        <w:jc w:val="both"/>
        <w:rPr>
          <w:rFonts w:ascii="Times New Roman" w:eastAsia="Calibri" w:hAnsi="Times New Roman" w:cs="Times New Roman"/>
          <w:noProof/>
        </w:rPr>
      </w:pPr>
    </w:p>
    <w:p w:rsidR="007E447C" w:rsidRDefault="007E447C">
      <w:pPr>
        <w:autoSpaceDE w:val="0"/>
        <w:autoSpaceDN w:val="0"/>
        <w:adjustRightInd w:val="0"/>
        <w:spacing w:after="240"/>
        <w:jc w:val="both"/>
        <w:rPr>
          <w:rFonts w:ascii="Times New Roman" w:eastAsia="Calibri" w:hAnsi="Times New Roman" w:cs="Times New Roman"/>
          <w:noProof/>
        </w:rPr>
      </w:pPr>
    </w:p>
    <w:p w:rsidR="007E447C" w:rsidRDefault="004D5789">
      <w:pPr>
        <w:autoSpaceDE w:val="0"/>
        <w:autoSpaceDN w:val="0"/>
        <w:adjustRightInd w:val="0"/>
        <w:spacing w:after="240"/>
        <w:jc w:val="both"/>
        <w:rPr>
          <w:noProof/>
        </w:rPr>
      </w:pPr>
      <w:r>
        <w:rPr>
          <w:rFonts w:ascii="Times New Roman" w:eastAsia="Times New Roman" w:hAnsi="Times New Roman" w:cs="Times New Roman"/>
          <w:b/>
          <w:noProof/>
          <w:color w:val="000000"/>
          <w:lang w:eastAsia="en-GB"/>
        </w:rPr>
        <w:t>Ireland:</w:t>
      </w:r>
      <w:r>
        <w:rPr>
          <w:rFonts w:ascii="Times New Roman" w:eastAsia="Times New Roman" w:hAnsi="Times New Roman" w:cs="Times New Roman"/>
          <w:noProof/>
          <w:color w:val="000000"/>
          <w:lang w:eastAsia="en-GB"/>
        </w:rPr>
        <w:t xml:space="preserve"> In March 2018, the Commission concluded that Ireland was </w:t>
      </w:r>
      <w:r>
        <w:rPr>
          <w:rFonts w:ascii="Times New Roman" w:eastAsia="Times New Roman" w:hAnsi="Times New Roman" w:cs="Times New Roman"/>
          <w:iCs/>
          <w:noProof/>
          <w:color w:val="000000"/>
          <w:lang w:eastAsia="en-GB"/>
        </w:rPr>
        <w:t>experiencing</w:t>
      </w:r>
      <w:r>
        <w:rPr>
          <w:rFonts w:ascii="Times New Roman" w:eastAsia="Times New Roman" w:hAnsi="Times New Roman" w:cs="Times New Roman"/>
          <w:i/>
          <w:iCs/>
          <w:noProof/>
          <w:color w:val="000000"/>
          <w:lang w:eastAsia="en-GB"/>
        </w:rPr>
        <w:t xml:space="preserve"> macroeconomic imbalances</w:t>
      </w:r>
      <w:r>
        <w:rPr>
          <w:rFonts w:ascii="Times New Roman" w:eastAsia="Times New Roman" w:hAnsi="Times New Roman" w:cs="Times New Roman"/>
          <w:noProof/>
          <w:color w:val="000000"/>
          <w:lang w:eastAsia="en-GB"/>
        </w:rPr>
        <w:t>, in particular involving vulnerabilities from large stocks of public and private debt and net external liabilities. In the updated scoreboard, a number of indicators are beyond the indicative threshold, namely the net international investment position (NI</w:t>
      </w:r>
      <w:r>
        <w:rPr>
          <w:rFonts w:ascii="Times New Roman" w:eastAsia="Times New Roman" w:hAnsi="Times New Roman" w:cs="Times New Roman"/>
          <w:noProof/>
          <w:color w:val="000000"/>
          <w:lang w:eastAsia="en-GB"/>
        </w:rPr>
        <w:t xml:space="preserve">IP), the real effective exchange rate (REER), private debt, public debt as well as the annual change in real house prices. </w:t>
      </w:r>
    </w:p>
    <w:p w:rsidR="007E447C" w:rsidRDefault="004D5789">
      <w:pPr>
        <w:autoSpaceDE w:val="0"/>
        <w:autoSpaceDN w:val="0"/>
        <w:adjustRightInd w:val="0"/>
        <w:spacing w:after="240"/>
        <w:jc w:val="both"/>
        <w:rPr>
          <w:rFonts w:ascii="Times New Roman" w:eastAsia="Times New Roman" w:hAnsi="Times New Roman" w:cs="Times New Roman"/>
          <w:noProof/>
          <w:color w:val="000000"/>
          <w:lang w:eastAsia="en-GB"/>
        </w:rPr>
      </w:pPr>
      <w:r>
        <w:rPr>
          <w:noProof/>
          <w:lang w:eastAsia="en-GB"/>
        </w:rPr>
        <w:drawing>
          <wp:anchor distT="0" distB="0" distL="114300" distR="114300" simplePos="0" relativeHeight="251725824" behindDoc="0" locked="0" layoutInCell="1" allowOverlap="1">
            <wp:simplePos x="0" y="0"/>
            <wp:positionH relativeFrom="column">
              <wp:posOffset>3074767</wp:posOffset>
            </wp:positionH>
            <wp:positionV relativeFrom="paragraph">
              <wp:posOffset>6252</wp:posOffset>
            </wp:positionV>
            <wp:extent cx="2690495" cy="28663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049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lang w:eastAsia="en-GB"/>
        </w:rPr>
        <w:t>The current account position showed a large surplus in 2017 compared to a substantial deficit in 2016 and surpluses the years befor</w:t>
      </w:r>
      <w:r>
        <w:rPr>
          <w:rFonts w:ascii="Times New Roman" w:eastAsia="Times New Roman" w:hAnsi="Times New Roman" w:cs="Times New Roman"/>
          <w:noProof/>
          <w:color w:val="000000"/>
          <w:lang w:eastAsia="en-GB"/>
        </w:rPr>
        <w:t>e. Volatility in imports of intellectual property and contract manufacturing were contributing to these swings in the current account balance in the past years.</w:t>
      </w:r>
      <w:r>
        <w:rPr>
          <w:rStyle w:val="FootnoteReference"/>
          <w:rFonts w:ascii="Times New Roman" w:eastAsia="Times New Roman" w:hAnsi="Times New Roman" w:cs="Times New Roman"/>
          <w:noProof/>
          <w:color w:val="000000"/>
          <w:lang w:eastAsia="en-GB"/>
        </w:rPr>
        <w:t xml:space="preserve"> </w:t>
      </w:r>
      <w:r>
        <w:rPr>
          <w:rStyle w:val="FootnoteReference"/>
          <w:rFonts w:ascii="Times New Roman" w:eastAsia="Times New Roman" w:hAnsi="Times New Roman" w:cs="Times New Roman"/>
          <w:noProof/>
          <w:color w:val="000000"/>
          <w:lang w:eastAsia="en-GB"/>
        </w:rPr>
        <w:footnoteReference w:id="37"/>
      </w:r>
      <w:r>
        <w:rPr>
          <w:rFonts w:ascii="Times New Roman" w:eastAsia="Times New Roman" w:hAnsi="Times New Roman" w:cs="Times New Roman"/>
          <w:noProof/>
          <w:color w:val="000000"/>
          <w:lang w:eastAsia="en-GB"/>
        </w:rPr>
        <w:t xml:space="preserve"> The NIIP has continued improving but remains highly negative, largely due to the activities o</w:t>
      </w:r>
      <w:r>
        <w:rPr>
          <w:rFonts w:ascii="Times New Roman" w:eastAsia="Times New Roman" w:hAnsi="Times New Roman" w:cs="Times New Roman"/>
          <w:noProof/>
          <w:color w:val="000000"/>
          <w:lang w:eastAsia="en-GB"/>
        </w:rPr>
        <w:t xml:space="preserve">f multinational companies with limited connections to the domestic economy. Strong productivity growth, also inflated by operations of multinationals, in recent years has contributed to improved competitiveness. Private debt remains very high, although it </w:t>
      </w:r>
      <w:r>
        <w:rPr>
          <w:rFonts w:ascii="Times New Roman" w:eastAsia="Times New Roman" w:hAnsi="Times New Roman" w:cs="Times New Roman"/>
          <w:noProof/>
          <w:color w:val="000000"/>
          <w:lang w:eastAsia="en-GB"/>
        </w:rPr>
        <w:t xml:space="preserve">has continued to decline. Households have continued reducing their debt and Irish banks have lowered their exposures to domestic companies, suggesting continued corporate deleveraging. The situation of domestic non-financial companies is more difficult to </w:t>
      </w:r>
      <w:r>
        <w:rPr>
          <w:rFonts w:ascii="Times New Roman" w:eastAsia="Times New Roman" w:hAnsi="Times New Roman" w:cs="Times New Roman"/>
          <w:noProof/>
          <w:color w:val="000000"/>
          <w:lang w:eastAsia="en-GB"/>
        </w:rPr>
        <w:t>interpret given the weight of multinationals on total corporate debt. House price growth has been very dynamic since 2014 mainly on the back of supply constraints and warrant close monitoring. On the back of strong economic growth, the ratio of public debt</w:t>
      </w:r>
      <w:r>
        <w:rPr>
          <w:rFonts w:ascii="Times New Roman" w:eastAsia="Times New Roman" w:hAnsi="Times New Roman" w:cs="Times New Roman"/>
          <w:noProof/>
          <w:color w:val="000000"/>
          <w:lang w:eastAsia="en-GB"/>
        </w:rPr>
        <w:t xml:space="preserve"> to GDP is falling but remains high. The non</w:t>
      </w:r>
      <w:r>
        <w:rPr>
          <w:rFonts w:ascii="Times New Roman" w:eastAsia="Times New Roman" w:hAnsi="Times New Roman" w:cs="Times New Roman"/>
          <w:noProof/>
          <w:color w:val="000000"/>
          <w:lang w:eastAsia="en-GB"/>
        </w:rPr>
        <w:noBreakHyphen/>
        <w:t>performing loans ratio has been declining over the last years, but remains elevated. Although banks are well capitalised, provisioning levels have declined. Their profitability, albeit still subdued, is improvin</w:t>
      </w:r>
      <w:r>
        <w:rPr>
          <w:rFonts w:ascii="Times New Roman" w:eastAsia="Times New Roman" w:hAnsi="Times New Roman" w:cs="Times New Roman"/>
          <w:noProof/>
          <w:color w:val="000000"/>
          <w:lang w:eastAsia="en-GB"/>
        </w:rPr>
        <w:t>g gradually.</w:t>
      </w:r>
      <w:r>
        <w:rPr>
          <w:rFonts w:ascii="Times New Roman" w:eastAsia="Times New Roman" w:hAnsi="Times New Roman" w:cs="Times New Roman"/>
          <w:noProof/>
          <w:lang w:eastAsia="en-GB"/>
        </w:rPr>
        <w:t xml:space="preserve"> The unemployment rate fell below the MIP threshold in 2017 and long</w:t>
      </w:r>
      <w:r>
        <w:rPr>
          <w:rFonts w:ascii="Times New Roman" w:eastAsia="Times New Roman" w:hAnsi="Times New Roman" w:cs="Times New Roman"/>
          <w:noProof/>
          <w:lang w:eastAsia="en-GB"/>
        </w:rPr>
        <w:noBreakHyphen/>
        <w:t>term and youth unemployment keep declining.</w:t>
      </w:r>
    </w:p>
    <w:p w:rsidR="007E447C" w:rsidRDefault="004D5789">
      <w:pPr>
        <w:spacing w:after="240" w:line="259" w:lineRule="auto"/>
        <w:jc w:val="both"/>
        <w:rPr>
          <w:rFonts w:ascii="Times New Roman" w:eastAsia="Calibri" w:hAnsi="Times New Roman" w:cs="Times New Roman"/>
          <w:i/>
          <w:noProof/>
        </w:rPr>
      </w:pPr>
      <w:r>
        <w:rPr>
          <w:rFonts w:ascii="Times New Roman" w:eastAsia="Calibri" w:hAnsi="Times New Roman" w:cs="Times New Roman"/>
          <w:i/>
          <w:iCs/>
          <w:noProof/>
        </w:rPr>
        <w:t>Overall, the economic reading highlights issues relating to the volatility of the external position and the stock of private and pu</w:t>
      </w:r>
      <w:r>
        <w:rPr>
          <w:rFonts w:ascii="Times New Roman" w:eastAsia="Calibri" w:hAnsi="Times New Roman" w:cs="Times New Roman"/>
          <w:i/>
          <w:iCs/>
          <w:noProof/>
        </w:rPr>
        <w:t xml:space="preserve">blic debt as well as the rapid growth of house prices and relatively high share of non-performing loans. </w:t>
      </w:r>
      <w:r>
        <w:rPr>
          <w:rFonts w:ascii="Times New Roman" w:eastAsia="Calibri" w:hAnsi="Times New Roman" w:cs="Times New Roman"/>
          <w:i/>
          <w:noProof/>
        </w:rPr>
        <w:t>Therefore, the Commission finds it opportune, also taking into account the identification of imbalances in March 2018, to examine further the persisten</w:t>
      </w:r>
      <w:r>
        <w:rPr>
          <w:rFonts w:ascii="Times New Roman" w:eastAsia="Calibri" w:hAnsi="Times New Roman" w:cs="Times New Roman"/>
          <w:i/>
          <w:noProof/>
        </w:rPr>
        <w:t>ce of imbalances or their unwinding.</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br/>
        <w:t>Greece:</w:t>
      </w:r>
      <w:r>
        <w:rPr>
          <w:rFonts w:ascii="Times New Roman" w:eastAsia="Calibri" w:hAnsi="Times New Roman" w:cs="Times New Roman"/>
          <w:b/>
          <w:i/>
          <w:noProof/>
        </w:rPr>
        <w:t xml:space="preserve"> </w:t>
      </w:r>
      <w:r>
        <w:rPr>
          <w:rFonts w:ascii="Times New Roman" w:eastAsia="Calibri" w:hAnsi="Times New Roman" w:cs="Times New Roman"/>
          <w:noProof/>
        </w:rPr>
        <w:t>From 2010 and until recently, Greece has been under financial assistance programmes. Therefore, the surveillance of imbalances and correcting measures has taken place in the context of the programmes, and not under the MIP. In recent years, Greece has take</w:t>
      </w:r>
      <w:r>
        <w:rPr>
          <w:rFonts w:ascii="Times New Roman" w:eastAsia="Calibri" w:hAnsi="Times New Roman" w:cs="Times New Roman"/>
          <w:noProof/>
        </w:rPr>
        <w:t xml:space="preserve">n important steps to reduce its flow imbalances and to manage related risks, but legacy stock imbalances are expected to persist. This is reflected in the updated scoreboard, where a number of indicators are beyond the indicative threshold, namely the net </w:t>
      </w:r>
      <w:r>
        <w:rPr>
          <w:rFonts w:ascii="Times New Roman" w:eastAsia="Calibri" w:hAnsi="Times New Roman" w:cs="Times New Roman"/>
          <w:noProof/>
        </w:rPr>
        <w:t xml:space="preserve">international investment position (NIIP), losses in export market shares, government debt and unemployment rate.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91008" behindDoc="0" locked="0" layoutInCell="1" allowOverlap="1">
            <wp:simplePos x="0" y="0"/>
            <wp:positionH relativeFrom="column">
              <wp:posOffset>3205480</wp:posOffset>
            </wp:positionH>
            <wp:positionV relativeFrom="paragraph">
              <wp:posOffset>10795</wp:posOffset>
            </wp:positionV>
            <wp:extent cx="2543175" cy="281940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While the private sector has a positive NIIP, the high share of public external debt results in an overall significantly negative NIIP. Altho</w:t>
      </w:r>
      <w:r>
        <w:rPr>
          <w:rFonts w:ascii="Times New Roman" w:eastAsia="Calibri" w:hAnsi="Times New Roman" w:cs="Times New Roman"/>
          <w:noProof/>
        </w:rPr>
        <w:t xml:space="preserve">ugh much of the external public debt has been given at highly concessional rates, long-term sustainability of the NIIP will require the recent improvements in the current account to be sustained in an environment of increasing domestic demand. Significant </w:t>
      </w:r>
      <w:r>
        <w:rPr>
          <w:rFonts w:ascii="Times New Roman" w:eastAsia="Calibri" w:hAnsi="Times New Roman" w:cs="Times New Roman"/>
          <w:noProof/>
        </w:rPr>
        <w:t>losses in export market shares have been observed in the last five years, but the trend appears to have reverted in 2017. The government debt-to-GDP ratio is very high, though it is expected to decline and its sustainability is underpinned by the Eurogroup</w:t>
      </w:r>
      <w:r>
        <w:rPr>
          <w:rFonts w:ascii="Times New Roman" w:eastAsia="Calibri" w:hAnsi="Times New Roman" w:cs="Times New Roman"/>
          <w:noProof/>
        </w:rPr>
        <w:t xml:space="preserve"> agreement of June 2018. House prices continued to fall in real terms in 2017 but has stabilised in early 2018. Credit growth remains negative as private debt deleveraging continues. The high level of non-performing loans hampers the restoration of a healt</w:t>
      </w:r>
      <w:r>
        <w:rPr>
          <w:rFonts w:ascii="Times New Roman" w:eastAsia="Calibri" w:hAnsi="Times New Roman" w:cs="Times New Roman"/>
          <w:noProof/>
        </w:rPr>
        <w:t xml:space="preserve">hy flow of credit to the economy, which is required for supporting growth in the medium term. Unemployment is declining but remains high, notably regarding long-term and youth unemployment.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linked to the hig</w:t>
      </w:r>
      <w:r>
        <w:rPr>
          <w:rFonts w:ascii="Times New Roman" w:eastAsia="Calibri" w:hAnsi="Times New Roman" w:cs="Times New Roman"/>
          <w:i/>
          <w:noProof/>
        </w:rPr>
        <w:t>h public and external debt, low savings and high stock of NPLs, all in a context of high unemployment, low productivity growth and sluggish investment activity. Therefore, the Commission finds it opportune to examine further the risks involved in an in-dep</w:t>
      </w:r>
      <w:r>
        <w:rPr>
          <w:rFonts w:ascii="Times New Roman" w:eastAsia="Calibri" w:hAnsi="Times New Roman" w:cs="Times New Roman"/>
          <w:i/>
          <w:noProof/>
        </w:rPr>
        <w:t>th analysis with a view to assess whether an imbalance exists.</w:t>
      </w:r>
    </w:p>
    <w:p w:rsidR="007E447C" w:rsidRDefault="007E447C">
      <w:pPr>
        <w:spacing w:after="160" w:line="259" w:lineRule="auto"/>
        <w:jc w:val="both"/>
        <w:rPr>
          <w:rFonts w:ascii="Times New Roman" w:eastAsia="Calibri" w:hAnsi="Times New Roman" w:cs="Times New Roman"/>
          <w:i/>
          <w:noProof/>
        </w:rPr>
      </w:pPr>
    </w:p>
    <w:p w:rsidR="007E447C" w:rsidRDefault="004D5789">
      <w:pPr>
        <w:autoSpaceDE w:val="0"/>
        <w:autoSpaceDN w:val="0"/>
        <w:adjustRightInd w:val="0"/>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32992" behindDoc="0" locked="0" layoutInCell="1" allowOverlap="1">
            <wp:simplePos x="0" y="0"/>
            <wp:positionH relativeFrom="column">
              <wp:posOffset>3301377</wp:posOffset>
            </wp:positionH>
            <wp:positionV relativeFrom="paragraph">
              <wp:posOffset>11167</wp:posOffset>
            </wp:positionV>
            <wp:extent cx="2458720" cy="31483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8720" cy="3148330"/>
                    </a:xfrm>
                    <a:prstGeom prst="rect">
                      <a:avLst/>
                    </a:prstGeom>
                    <a:noFill/>
                    <a:ln>
                      <a:noFill/>
                    </a:ln>
                  </pic:spPr>
                </pic:pic>
              </a:graphicData>
            </a:graphic>
          </wp:anchor>
        </w:drawing>
      </w:r>
      <w:r>
        <w:rPr>
          <w:rFonts w:ascii="Times New Roman" w:eastAsia="Calibri" w:hAnsi="Times New Roman" w:cs="Times New Roman"/>
          <w:b/>
          <w:noProof/>
        </w:rPr>
        <w:t>Spain</w:t>
      </w:r>
      <w:r>
        <w:rPr>
          <w:rFonts w:ascii="Times New Roman" w:eastAsia="Calibri" w:hAnsi="Times New Roman" w:cs="Times New Roman"/>
          <w:noProof/>
        </w:rPr>
        <w:t xml:space="preserve">: In March 2018, the Commission concluded that Spain was experiencing </w:t>
      </w:r>
      <w:r>
        <w:rPr>
          <w:rFonts w:ascii="Times New Roman" w:eastAsia="Calibri" w:hAnsi="Times New Roman" w:cs="Times New Roman"/>
          <w:i/>
          <w:noProof/>
        </w:rPr>
        <w:t>macroeconomic imbalances</w:t>
      </w:r>
      <w:r>
        <w:rPr>
          <w:rFonts w:ascii="Times New Roman" w:eastAsia="Calibri" w:hAnsi="Times New Roman" w:cs="Times New Roman"/>
          <w:noProof/>
        </w:rPr>
        <w:t xml:space="preserve">, in particular relating to the high levels of external and internal debt, both private and </w:t>
      </w:r>
      <w:r>
        <w:rPr>
          <w:rFonts w:ascii="Times New Roman" w:eastAsia="Calibri" w:hAnsi="Times New Roman" w:cs="Times New Roman"/>
          <w:noProof/>
        </w:rPr>
        <w:t>public, in a context of high unemployment. In the updated scoreboard, a number of indicators are beyond the indicative threshold, namely the net international investment position (NIIP), the private and government debt ratios, the unemployment rate as well</w:t>
      </w:r>
      <w:r>
        <w:rPr>
          <w:rFonts w:ascii="Times New Roman" w:eastAsia="Calibri" w:hAnsi="Times New Roman" w:cs="Times New Roman"/>
          <w:noProof/>
        </w:rPr>
        <w:t xml:space="preserve"> as the growth in the activity rate. </w:t>
      </w:r>
    </w:p>
    <w:p w:rsidR="007E447C" w:rsidRDefault="004D5789">
      <w:pPr>
        <w:autoSpaceDE w:val="0"/>
        <w:autoSpaceDN w:val="0"/>
        <w:adjustRightInd w:val="0"/>
        <w:spacing w:after="120" w:line="259" w:lineRule="auto"/>
        <w:jc w:val="both"/>
        <w:rPr>
          <w:rFonts w:ascii="Times New Roman" w:eastAsia="MS Mincho" w:hAnsi="Times New Roman" w:cs="Times New Roman"/>
          <w:noProof/>
        </w:rPr>
      </w:pPr>
      <w:r>
        <w:rPr>
          <w:rFonts w:ascii="Times New Roman" w:eastAsia="Calibri" w:hAnsi="Times New Roman" w:cs="Times New Roman"/>
          <w:noProof/>
        </w:rPr>
        <w:t>External rebalancing has continued although relatively slowly, and while the NIIP has improved it remains very high. Nominal ULC growth has been stable in a context of contained wage growth and low productivity growth.</w:t>
      </w:r>
      <w:r>
        <w:rPr>
          <w:rFonts w:ascii="Times New Roman" w:eastAsia="Calibri" w:hAnsi="Times New Roman" w:cs="Times New Roman"/>
          <w:noProof/>
        </w:rPr>
        <w:t xml:space="preserve"> Export market growth has been moderate in year-on-year terms despite the slight appreciation of the real effective exchange rate in 2017. Private sector debt has continued to decline throughout 2017, especially for corporations, but deleveraging needs rem</w:t>
      </w:r>
      <w:r>
        <w:rPr>
          <w:rFonts w:ascii="Times New Roman" w:eastAsia="Calibri" w:hAnsi="Times New Roman" w:cs="Times New Roman"/>
          <w:noProof/>
        </w:rPr>
        <w:t xml:space="preserve">ain. Moreover, new credit has started flowing again, supporting a rebound in investment. For households, the pace of debt decline is also held back by </w:t>
      </w:r>
      <w:r>
        <w:rPr>
          <w:rFonts w:ascii="Times New Roman" w:eastAsia="Times New Roman" w:hAnsi="Times New Roman" w:cs="Times New Roman"/>
          <w:noProof/>
        </w:rPr>
        <w:t xml:space="preserve">a </w:t>
      </w:r>
      <w:r>
        <w:rPr>
          <w:rFonts w:ascii="Times New Roman" w:eastAsia="Calibri" w:hAnsi="Times New Roman" w:cs="Times New Roman"/>
          <w:noProof/>
        </w:rPr>
        <w:t>strong increase in consumer credit. House prices have been recovering in recent years in the context of</w:t>
      </w:r>
      <w:r>
        <w:rPr>
          <w:rFonts w:ascii="Times New Roman" w:eastAsia="Calibri" w:hAnsi="Times New Roman" w:cs="Times New Roman"/>
          <w:noProof/>
        </w:rPr>
        <w:t xml:space="preserve"> previously undervaluation. In recent years, strong economic growth has been the main driver of the reduction in the general government deficit</w:t>
      </w:r>
      <w:r>
        <w:rPr>
          <w:rFonts w:ascii="Times New Roman" w:eastAsia="Times New Roman" w:hAnsi="Times New Roman" w:cs="Times New Roman"/>
          <w:noProof/>
        </w:rPr>
        <w:t xml:space="preserve"> but</w:t>
      </w:r>
      <w:r>
        <w:rPr>
          <w:rFonts w:ascii="Times New Roman" w:eastAsia="Calibri" w:hAnsi="Times New Roman" w:cs="Times New Roman"/>
          <w:noProof/>
        </w:rPr>
        <w:t xml:space="preserve"> the persistent </w:t>
      </w:r>
      <w:r>
        <w:rPr>
          <w:rFonts w:ascii="Times New Roman" w:eastAsia="Times New Roman" w:hAnsi="Times New Roman" w:cs="Times New Roman"/>
          <w:noProof/>
        </w:rPr>
        <w:t>deficits</w:t>
      </w:r>
      <w:r>
        <w:rPr>
          <w:rFonts w:ascii="Times New Roman" w:eastAsia="Calibri" w:hAnsi="Times New Roman" w:cs="Times New Roman"/>
          <w:noProof/>
        </w:rPr>
        <w:t xml:space="preserve"> imply that </w:t>
      </w:r>
      <w:r>
        <w:rPr>
          <w:rFonts w:ascii="Times New Roman" w:eastAsia="Times New Roman" w:hAnsi="Times New Roman" w:cs="Times New Roman"/>
          <w:noProof/>
        </w:rPr>
        <w:t>the</w:t>
      </w:r>
      <w:r>
        <w:rPr>
          <w:rFonts w:ascii="Times New Roman" w:eastAsia="Calibri" w:hAnsi="Times New Roman" w:cs="Times New Roman"/>
          <w:noProof/>
        </w:rPr>
        <w:t xml:space="preserve"> government debt</w:t>
      </w:r>
      <w:r>
        <w:rPr>
          <w:rFonts w:ascii="Times New Roman" w:eastAsia="Times New Roman" w:hAnsi="Times New Roman" w:cs="Times New Roman"/>
          <w:noProof/>
        </w:rPr>
        <w:t xml:space="preserve"> ratio</w:t>
      </w:r>
      <w:r>
        <w:rPr>
          <w:rFonts w:ascii="Times New Roman" w:eastAsia="Calibri" w:hAnsi="Times New Roman" w:cs="Times New Roman"/>
          <w:noProof/>
        </w:rPr>
        <w:t xml:space="preserve"> is only slowly decreasing. Unemployment has bee</w:t>
      </w:r>
      <w:r>
        <w:rPr>
          <w:rFonts w:ascii="Times New Roman" w:eastAsia="Calibri" w:hAnsi="Times New Roman" w:cs="Times New Roman"/>
          <w:noProof/>
        </w:rPr>
        <w:t xml:space="preserve">n declining rapidly, but remains very high, especially among youth. At the same time, the low productivity growth makes competitiveness gains hinge upon cost advantages. </w:t>
      </w:r>
    </w:p>
    <w:p w:rsidR="007E447C" w:rsidRDefault="004D5789">
      <w:pPr>
        <w:autoSpaceDE w:val="0"/>
        <w:autoSpaceDN w:val="0"/>
        <w:adjustRightInd w:val="0"/>
        <w:spacing w:after="80" w:line="259" w:lineRule="auto"/>
        <w:jc w:val="both"/>
        <w:rPr>
          <w:rFonts w:ascii="Times New Roman" w:eastAsia="Calibri" w:hAnsi="Times New Roman" w:cs="Times New Roman"/>
          <w:i/>
          <w:noProof/>
        </w:rPr>
      </w:pPr>
      <w:r>
        <w:rPr>
          <w:rFonts w:ascii="Times New Roman" w:eastAsia="Calibri" w:hAnsi="Times New Roman" w:cs="Times New Roman"/>
          <w:i/>
          <w:noProof/>
        </w:rPr>
        <w:t xml:space="preserve">Overall, the economic reading highlights issues relating to external sustainability, </w:t>
      </w:r>
      <w:r>
        <w:rPr>
          <w:rFonts w:ascii="Times New Roman" w:eastAsia="Calibri" w:hAnsi="Times New Roman" w:cs="Times New Roman"/>
          <w:i/>
          <w:noProof/>
        </w:rPr>
        <w:t>private and public debt, and labour market adjustment, in the context of weak productivity growth. Therefore, the Commission finds it useful, also taking into account the identification of imbalances in March 2018 and their cross-border relevance, to exami</w:t>
      </w:r>
      <w:r>
        <w:rPr>
          <w:rFonts w:ascii="Times New Roman" w:eastAsia="Calibri" w:hAnsi="Times New Roman" w:cs="Times New Roman"/>
          <w:i/>
          <w:noProof/>
        </w:rPr>
        <w:t xml:space="preserve">ne further the persistence of imbalances or their unwinding. </w:t>
      </w:r>
    </w:p>
    <w:p w:rsidR="007E447C" w:rsidRDefault="007E447C">
      <w:pPr>
        <w:autoSpaceDE w:val="0"/>
        <w:autoSpaceDN w:val="0"/>
        <w:adjustRightInd w:val="0"/>
        <w:spacing w:after="160" w:line="259" w:lineRule="auto"/>
        <w:jc w:val="both"/>
        <w:rPr>
          <w:rFonts w:ascii="Times New Roman" w:eastAsia="MS Mincho" w:hAnsi="Times New Roman" w:cs="Times New Roman"/>
          <w:i/>
          <w:noProof/>
        </w:rPr>
      </w:pPr>
    </w:p>
    <w:p w:rsidR="007E447C" w:rsidRDefault="004D5789">
      <w:pPr>
        <w:autoSpaceDE w:val="0"/>
        <w:autoSpaceDN w:val="0"/>
        <w:adjustRightInd w:val="0"/>
        <w:spacing w:after="160" w:line="259" w:lineRule="auto"/>
        <w:jc w:val="both"/>
        <w:rPr>
          <w:noProof/>
        </w:rPr>
      </w:pPr>
      <w:r>
        <w:rPr>
          <w:noProof/>
          <w:lang w:eastAsia="en-GB"/>
        </w:rPr>
        <w:drawing>
          <wp:anchor distT="0" distB="0" distL="114300" distR="114300" simplePos="0" relativeHeight="251689984" behindDoc="0" locked="0" layoutInCell="1" allowOverlap="1">
            <wp:simplePos x="0" y="0"/>
            <wp:positionH relativeFrom="column">
              <wp:posOffset>3224530</wp:posOffset>
            </wp:positionH>
            <wp:positionV relativeFrom="paragraph">
              <wp:posOffset>6985</wp:posOffset>
            </wp:positionV>
            <wp:extent cx="2524125" cy="2914650"/>
            <wp:effectExtent l="0" t="0" r="952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France:</w:t>
      </w:r>
      <w:r>
        <w:rPr>
          <w:rFonts w:ascii="Times New Roman" w:eastAsia="Calibri" w:hAnsi="Times New Roman" w:cs="Times New Roman"/>
          <w:noProof/>
        </w:rPr>
        <w:t xml:space="preserve"> In March 2018, the Commission concluded that France was experiencing </w:t>
      </w:r>
      <w:r>
        <w:rPr>
          <w:rFonts w:ascii="Times New Roman" w:eastAsia="Calibri" w:hAnsi="Times New Roman" w:cs="Times New Roman"/>
          <w:i/>
          <w:noProof/>
        </w:rPr>
        <w:t xml:space="preserve">macroeconomic imbalances </w:t>
      </w:r>
      <w:r>
        <w:rPr>
          <w:rFonts w:ascii="Times New Roman" w:eastAsia="Calibri" w:hAnsi="Times New Roman" w:cs="Times New Roman"/>
          <w:noProof/>
        </w:rPr>
        <w:t>in particular relating to high public debt and weak competitiveness in a context of low pr</w:t>
      </w:r>
      <w:r>
        <w:rPr>
          <w:rFonts w:ascii="Times New Roman" w:eastAsia="Calibri" w:hAnsi="Times New Roman" w:cs="Times New Roman"/>
          <w:noProof/>
        </w:rPr>
        <w:t xml:space="preserve">oductivity growth. </w:t>
      </w:r>
      <w:r>
        <w:rPr>
          <w:rFonts w:ascii="Times New Roman" w:eastAsia="Calibri" w:hAnsi="Times New Roman" w:cs="Times New Roman"/>
          <w:bCs/>
          <w:noProof/>
        </w:rPr>
        <w:t xml:space="preserve">In the updated scoreboard, government and private sector debt and the unemployment rate indicators are on or beyond the indicative threshold. </w:t>
      </w:r>
    </w:p>
    <w:p w:rsidR="007E447C" w:rsidRDefault="004D5789">
      <w:pPr>
        <w:autoSpaceDE w:val="0"/>
        <w:autoSpaceDN w:val="0"/>
        <w:adjustRightInd w:val="0"/>
        <w:spacing w:after="160" w:line="259" w:lineRule="auto"/>
        <w:jc w:val="both"/>
        <w:rPr>
          <w:rFonts w:ascii="Times New Roman" w:eastAsia="Calibri" w:hAnsi="Times New Roman" w:cs="Times New Roman"/>
          <w:bCs/>
          <w:noProof/>
        </w:rPr>
      </w:pPr>
      <w:r>
        <w:rPr>
          <w:rFonts w:ascii="Times New Roman" w:eastAsia="Calibri" w:hAnsi="Times New Roman" w:cs="Times New Roman"/>
          <w:bCs/>
          <w:noProof/>
        </w:rPr>
        <w:t xml:space="preserve">The current account deficit was broadly stable in 2017 while the net international investment </w:t>
      </w:r>
      <w:r>
        <w:rPr>
          <w:rFonts w:ascii="Times New Roman" w:eastAsia="Calibri" w:hAnsi="Times New Roman" w:cs="Times New Roman"/>
          <w:bCs/>
          <w:noProof/>
        </w:rPr>
        <w:t>position deteriorated. Despite a pick-up in export growth there were some small losses in export market shares in 2017 while the real effective exchange rate stabilised. Due to a moderation of wage developments, unit labour cost growth was contained. Howev</w:t>
      </w:r>
      <w:r>
        <w:rPr>
          <w:rFonts w:ascii="Times New Roman" w:eastAsia="Calibri" w:hAnsi="Times New Roman" w:cs="Times New Roman"/>
          <w:bCs/>
          <w:noProof/>
        </w:rPr>
        <w:t>er, productivity dynamics remained sluggish</w:t>
      </w:r>
      <w:r>
        <w:rPr>
          <w:rFonts w:ascii="Times New Roman" w:eastAsia="Calibri" w:hAnsi="Times New Roman" w:cs="Times New Roman"/>
          <w:noProof/>
        </w:rPr>
        <w:t>. Vulnerabilities stemming from the high and still increasing government debt remain a major source of concern. The combination of high public and private debt represents an additional vulnerability. Private secto</w:t>
      </w:r>
      <w:r>
        <w:rPr>
          <w:rFonts w:ascii="Times New Roman" w:eastAsia="Calibri" w:hAnsi="Times New Roman" w:cs="Times New Roman"/>
          <w:noProof/>
        </w:rPr>
        <w:t>r debt is relatively high, in particular for non-financial companies, while credit growth is slightly picking up. Real house prices increased moderately. The labour market situation improves with the unemployment indicator moving within the threshold.</w:t>
      </w:r>
      <w:r>
        <w:rPr>
          <w:rFonts w:ascii="Times New Roman" w:eastAsia="Calibri" w:hAnsi="Times New Roman" w:cs="Times New Roman"/>
          <w:bCs/>
          <w:noProof/>
        </w:rPr>
        <w:t xml:space="preserve"> </w:t>
      </w:r>
    </w:p>
    <w:p w:rsidR="007E447C" w:rsidRDefault="004D5789">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eastAsia="Calibri" w:hAnsi="Times New Roman" w:cs="Times New Roman"/>
          <w:i/>
          <w:noProof/>
        </w:rPr>
        <w:t>Ove</w:t>
      </w:r>
      <w:r>
        <w:rPr>
          <w:rFonts w:ascii="Times New Roman" w:eastAsia="Calibri" w:hAnsi="Times New Roman" w:cs="Times New Roman"/>
          <w:i/>
          <w:noProof/>
        </w:rPr>
        <w:t xml:space="preserve">rall, the economic reading highlights issues relating to high indebtedness and weak competitiveness, in a context of low productivity growth. </w:t>
      </w:r>
      <w:r>
        <w:rPr>
          <w:rFonts w:ascii="Times New Roman" w:eastAsia="Calibri" w:hAnsi="Times New Roman" w:cs="Times New Roman"/>
          <w:bCs/>
          <w:i/>
          <w:noProof/>
        </w:rPr>
        <w:t>Therefore, the Commission finds it opportune, also taking into account the identification of an imbalance in March</w:t>
      </w:r>
      <w:r>
        <w:rPr>
          <w:rFonts w:ascii="Times New Roman" w:eastAsia="Calibri" w:hAnsi="Times New Roman" w:cs="Times New Roman"/>
          <w:bCs/>
          <w:i/>
          <w:noProof/>
        </w:rPr>
        <w:t xml:space="preserve"> 2018, to examine further the persistence of imbalances or their unwinding.</w:t>
      </w: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7E447C">
      <w:pPr>
        <w:autoSpaceDE w:val="0"/>
        <w:autoSpaceDN w:val="0"/>
        <w:adjustRightInd w:val="0"/>
        <w:spacing w:after="160" w:line="259" w:lineRule="auto"/>
        <w:jc w:val="both"/>
        <w:rPr>
          <w:rFonts w:ascii="Times New Roman" w:eastAsia="Calibri" w:hAnsi="Times New Roman" w:cs="Times New Roman"/>
          <w:bCs/>
          <w:i/>
          <w:noProof/>
        </w:rPr>
      </w:pPr>
    </w:p>
    <w:p w:rsidR="007E447C" w:rsidRDefault="004D5789">
      <w:pPr>
        <w:autoSpaceDE w:val="0"/>
        <w:autoSpaceDN w:val="0"/>
        <w:adjustRightInd w:val="0"/>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03296" behindDoc="0" locked="0" layoutInCell="1" allowOverlap="1">
            <wp:simplePos x="0" y="0"/>
            <wp:positionH relativeFrom="column">
              <wp:posOffset>3176905</wp:posOffset>
            </wp:positionH>
            <wp:positionV relativeFrom="paragraph">
              <wp:posOffset>10795</wp:posOffset>
            </wp:positionV>
            <wp:extent cx="2581275" cy="299085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12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Croatia:</w:t>
      </w:r>
      <w:r>
        <w:rPr>
          <w:rFonts w:ascii="Times New Roman" w:eastAsia="Calibri" w:hAnsi="Times New Roman" w:cs="Times New Roman"/>
          <w:noProof/>
        </w:rPr>
        <w:t xml:space="preserve"> In March 2018, the Commission concluded that Croatia was experiencing </w:t>
      </w:r>
      <w:r>
        <w:rPr>
          <w:rFonts w:ascii="Times New Roman" w:eastAsia="Calibri" w:hAnsi="Times New Roman" w:cs="Times New Roman"/>
          <w:i/>
          <w:noProof/>
        </w:rPr>
        <w:t>excessive macroeconomic imbalances</w:t>
      </w:r>
      <w:r>
        <w:rPr>
          <w:rFonts w:ascii="Times New Roman" w:eastAsia="Calibri" w:hAnsi="Times New Roman" w:cs="Times New Roman"/>
          <w:noProof/>
        </w:rPr>
        <w:t>, linked to high levels of public, private and external d</w:t>
      </w:r>
      <w:r>
        <w:rPr>
          <w:rFonts w:ascii="Times New Roman" w:eastAsia="Calibri" w:hAnsi="Times New Roman" w:cs="Times New Roman"/>
          <w:noProof/>
        </w:rPr>
        <w:t xml:space="preserve">ebt, all largely denominated in foreign currency, in a context of low potential growth. In the updated scoreboard, a number of indicators are beyond the indicative threshold, namely the net international investment position (NIIP), the government debt and </w:t>
      </w:r>
      <w:r>
        <w:rPr>
          <w:rFonts w:ascii="Times New Roman" w:eastAsia="Calibri" w:hAnsi="Times New Roman" w:cs="Times New Roman"/>
          <w:noProof/>
        </w:rPr>
        <w:t xml:space="preserve">the unemployment rate.  </w:t>
      </w:r>
    </w:p>
    <w:p w:rsidR="007E447C" w:rsidRDefault="004D5789">
      <w:pPr>
        <w:autoSpaceDE w:val="0"/>
        <w:autoSpaceDN w:val="0"/>
        <w:adjustRightInd w:val="0"/>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Supported by a widening current account surplus, the negative NIIP, which to a large extent reflect FDI, has strengthened, although remaining beyond the threshold and exposed to persistent currency-related risks. Negative nominal U</w:t>
      </w:r>
      <w:r>
        <w:rPr>
          <w:rFonts w:ascii="Times New Roman" w:eastAsia="Calibri" w:hAnsi="Times New Roman" w:cs="Times New Roman"/>
          <w:noProof/>
        </w:rPr>
        <w:t>LC growth points to further gains in cost competitiveness, although the REER has been stable. As a result, in 2017, Croatia continued to gain market shares but at a slower pace than in previous years. Private sector debt continued decreasing despite a reco</w:t>
      </w:r>
      <w:r>
        <w:rPr>
          <w:rFonts w:ascii="Times New Roman" w:eastAsia="Calibri" w:hAnsi="Times New Roman" w:cs="Times New Roman"/>
          <w:noProof/>
        </w:rPr>
        <w:t>very of credit flows in 2017. The reduction of non-performing loans in the banking sector slowed, and a large share of loans to non-financial corporations remains non-performing. The government debt ratio declined further in 2017 also on account of an impr</w:t>
      </w:r>
      <w:r>
        <w:rPr>
          <w:rFonts w:ascii="Times New Roman" w:eastAsia="Calibri" w:hAnsi="Times New Roman" w:cs="Times New Roman"/>
          <w:noProof/>
        </w:rPr>
        <w:t>oving general government balance. The unemployment rate continued to decrease. However, labour market participation remains very low and, combined with sluggish productivity developments; it continues to weigh on potential growth. Risks associated with the</w:t>
      </w:r>
      <w:r>
        <w:rPr>
          <w:rFonts w:ascii="Times New Roman" w:eastAsia="Calibri" w:hAnsi="Times New Roman" w:cs="Times New Roman"/>
          <w:noProof/>
        </w:rPr>
        <w:t xml:space="preserve"> country's largest employer, Agrokor, diminished after its creditors adopted a debt restructuring plan. </w:t>
      </w:r>
    </w:p>
    <w:p w:rsidR="007E447C" w:rsidRDefault="004D5789">
      <w:pPr>
        <w:autoSpaceDE w:val="0"/>
        <w:autoSpaceDN w:val="0"/>
        <w:adjustRightInd w:val="0"/>
        <w:spacing w:after="160" w:line="259" w:lineRule="auto"/>
        <w:jc w:val="both"/>
        <w:rPr>
          <w:rFonts w:ascii="Times New Roman" w:eastAsia="Calibri" w:hAnsi="Times New Roman" w:cs="Times New Roman"/>
          <w:noProof/>
        </w:rPr>
      </w:pPr>
      <w:r>
        <w:rPr>
          <w:rFonts w:ascii="Times New Roman" w:eastAsia="Calibri" w:hAnsi="Times New Roman" w:cs="Times New Roman"/>
          <w:i/>
          <w:iCs/>
          <w:noProof/>
        </w:rPr>
        <w:t>Overall, the economic reading highlights the still high but decreasing debt levels and currency risk exposures in all sectors of the economy and the im</w:t>
      </w:r>
      <w:r>
        <w:rPr>
          <w:rFonts w:ascii="Times New Roman" w:eastAsia="Calibri" w:hAnsi="Times New Roman" w:cs="Times New Roman"/>
          <w:i/>
          <w:iCs/>
          <w:noProof/>
        </w:rPr>
        <w:t>portance of higher potential growth for a durable correction. Therefore the Commission finds it useful, also taking into account the identification of an excessive imbalance in March 2018, to examine further the persistence of macroeconomic risks and to mo</w:t>
      </w:r>
      <w:r>
        <w:rPr>
          <w:rFonts w:ascii="Times New Roman" w:eastAsia="Calibri" w:hAnsi="Times New Roman" w:cs="Times New Roman"/>
          <w:i/>
          <w:iCs/>
          <w:noProof/>
        </w:rPr>
        <w:t>nitor progress in the unwinding of excessive imbalances.</w:t>
      </w:r>
    </w:p>
    <w:p w:rsidR="007E447C" w:rsidRDefault="007E447C">
      <w:pPr>
        <w:rPr>
          <w:rFonts w:ascii="Times New Roman" w:eastAsia="Times New Roman" w:hAnsi="Times New Roman" w:cs="Times New Roman"/>
          <w:b/>
          <w:bCs/>
          <w:noProof/>
          <w:color w:val="000000"/>
          <w:lang w:eastAsia="en-GB"/>
        </w:rPr>
      </w:pPr>
    </w:p>
    <w:p w:rsidR="007E447C" w:rsidRDefault="004D5789">
      <w:pPr>
        <w:autoSpaceDE w:val="0"/>
        <w:autoSpaceDN w:val="0"/>
        <w:adjustRightInd w:val="0"/>
        <w:spacing w:after="0" w:line="240" w:lineRule="auto"/>
        <w:jc w:val="both"/>
        <w:rPr>
          <w:rFonts w:ascii="Times New Roman" w:eastAsia="Times New Roman" w:hAnsi="Times New Roman" w:cs="Times New Roman"/>
          <w:noProof/>
          <w:color w:val="000000"/>
          <w:lang w:eastAsia="en-GB"/>
        </w:rPr>
      </w:pPr>
      <w:r>
        <w:rPr>
          <w:noProof/>
          <w:lang w:eastAsia="en-GB"/>
        </w:rPr>
        <w:drawing>
          <wp:anchor distT="0" distB="0" distL="114300" distR="114300" simplePos="0" relativeHeight="251694080" behindDoc="0" locked="0" layoutInCell="1" allowOverlap="1">
            <wp:simplePos x="0" y="0"/>
            <wp:positionH relativeFrom="column">
              <wp:posOffset>3308350</wp:posOffset>
            </wp:positionH>
            <wp:positionV relativeFrom="paragraph">
              <wp:posOffset>13335</wp:posOffset>
            </wp:positionV>
            <wp:extent cx="2447925" cy="291465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79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lang w:eastAsia="en-GB"/>
        </w:rPr>
        <w:t>Italy</w:t>
      </w:r>
      <w:r>
        <w:rPr>
          <w:rFonts w:ascii="Times New Roman" w:eastAsia="Times New Roman" w:hAnsi="Times New Roman" w:cs="Times New Roman"/>
          <w:noProof/>
          <w:color w:val="000000"/>
          <w:lang w:eastAsia="en-GB"/>
        </w:rPr>
        <w:t xml:space="preserve">: In March 2018, the Commission concluded that Italy was experiencing </w:t>
      </w:r>
      <w:r>
        <w:rPr>
          <w:rFonts w:ascii="Times New Roman" w:eastAsia="Times New Roman" w:hAnsi="Times New Roman" w:cs="Times New Roman"/>
          <w:i/>
          <w:iCs/>
          <w:noProof/>
          <w:color w:val="000000"/>
          <w:lang w:eastAsia="en-GB"/>
        </w:rPr>
        <w:t>excessive macroeconomic imbalances</w:t>
      </w:r>
      <w:r>
        <w:rPr>
          <w:rFonts w:ascii="Times New Roman" w:eastAsia="Times New Roman" w:hAnsi="Times New Roman" w:cs="Times New Roman"/>
          <w:noProof/>
          <w:color w:val="000000"/>
          <w:lang w:eastAsia="en-GB"/>
        </w:rPr>
        <w:t>, in particular involving risks stemming from the very high public debt and protracted weak productivity dynamics in a context of high non-performing loans (NPLs) and unemployment. In the updated scoreboard, two indicators are beyond the indicative thresho</w:t>
      </w:r>
      <w:r>
        <w:rPr>
          <w:rFonts w:ascii="Times New Roman" w:eastAsia="Times New Roman" w:hAnsi="Times New Roman" w:cs="Times New Roman"/>
          <w:noProof/>
          <w:color w:val="000000"/>
          <w:lang w:eastAsia="en-GB"/>
        </w:rPr>
        <w:t xml:space="preserve">ld, namely government debt and the unemployment rate. </w:t>
      </w:r>
    </w:p>
    <w:p w:rsidR="007E447C" w:rsidRDefault="007E447C">
      <w:pPr>
        <w:autoSpaceDE w:val="0"/>
        <w:autoSpaceDN w:val="0"/>
        <w:adjustRightInd w:val="0"/>
        <w:spacing w:after="0" w:line="240" w:lineRule="auto"/>
        <w:jc w:val="both"/>
        <w:rPr>
          <w:rFonts w:ascii="Times New Roman" w:eastAsia="Times New Roman" w:hAnsi="Times New Roman" w:cs="Times New Roman"/>
          <w:noProof/>
          <w:color w:val="000000"/>
          <w:lang w:eastAsia="en-GB"/>
        </w:rPr>
      </w:pPr>
    </w:p>
    <w:p w:rsidR="007E447C" w:rsidRDefault="004D5789">
      <w:pPr>
        <w:autoSpaceDE w:val="0"/>
        <w:autoSpaceDN w:val="0"/>
        <w:adjustRightInd w:val="0"/>
        <w:spacing w:after="0" w:line="240" w:lineRule="auto"/>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The external position is relatively strong with current account surpluses and an improving net international investment position. The government debt ratio stabilised at a very high level in 2017 but </w:t>
      </w:r>
      <w:r>
        <w:rPr>
          <w:rFonts w:ascii="Times New Roman" w:eastAsia="Times New Roman" w:hAnsi="Times New Roman" w:cs="Times New Roman"/>
          <w:noProof/>
          <w:color w:val="000000"/>
          <w:lang w:eastAsia="en-GB"/>
        </w:rPr>
        <w:t>the government's fiscal plans, weaker than expected recovery and higher borrowing costs hamper a reduction of the debt-to-GDP ratio looking forward. At the same time, weak productivity growth and a shrinking working age population weigh on Italy's potentia</w:t>
      </w:r>
      <w:r>
        <w:rPr>
          <w:rFonts w:ascii="Times New Roman" w:eastAsia="Times New Roman" w:hAnsi="Times New Roman" w:cs="Times New Roman"/>
          <w:noProof/>
          <w:color w:val="000000"/>
          <w:lang w:eastAsia="en-GB"/>
        </w:rPr>
        <w:t>l growth. Low productivity growth is rooted in long-standing structural weaknesses, including a business environment less favourable than in peer countries, financing constraints, a lack of high-skilled people and a low level of investments in intangible a</w:t>
      </w:r>
      <w:r>
        <w:rPr>
          <w:rFonts w:ascii="Times New Roman" w:eastAsia="Times New Roman" w:hAnsi="Times New Roman" w:cs="Times New Roman"/>
          <w:noProof/>
          <w:color w:val="000000"/>
          <w:lang w:eastAsia="en-GB"/>
        </w:rPr>
        <w:t>ssets. Banks’ balance sheet repair has progressed and the Italian banking sector became profitable again in 2017. However, vulnerabilities remain, in particular for medium and small banks, which still hold large legacy stocks of non-performing loans and ar</w:t>
      </w:r>
      <w:r>
        <w:rPr>
          <w:rFonts w:ascii="Times New Roman" w:eastAsia="Times New Roman" w:hAnsi="Times New Roman" w:cs="Times New Roman"/>
          <w:noProof/>
          <w:color w:val="000000"/>
          <w:lang w:eastAsia="en-GB"/>
        </w:rPr>
        <w:t>e more exposed to sovereign risk than large banks. Labour market conditions are gradually improving, but the unemployment rate remains high, far above pre-crisis levels, in particular for young people and the long-term unemployed. The overall participation</w:t>
      </w:r>
      <w:r>
        <w:rPr>
          <w:rFonts w:ascii="Times New Roman" w:eastAsia="Times New Roman" w:hAnsi="Times New Roman" w:cs="Times New Roman"/>
          <w:noProof/>
          <w:color w:val="000000"/>
          <w:lang w:eastAsia="en-GB"/>
        </w:rPr>
        <w:t xml:space="preserve"> rate is rising but remains below the euro-area average. On the back of the on-going recovery, Italy's macroeconomic imbalances have stopped deteriorating but they remain sizeable and are unwinding only gradually. The slowdown in real GDP growth and the re</w:t>
      </w:r>
      <w:r>
        <w:rPr>
          <w:rFonts w:ascii="Times New Roman" w:eastAsia="Times New Roman" w:hAnsi="Times New Roman" w:cs="Times New Roman"/>
          <w:noProof/>
          <w:color w:val="000000"/>
          <w:lang w:eastAsia="en-GB"/>
        </w:rPr>
        <w:t xml:space="preserve">newed tensions on the sovereign bond market could undermine the progress achieved so far. </w:t>
      </w:r>
    </w:p>
    <w:p w:rsidR="007E447C" w:rsidRDefault="007E447C">
      <w:pPr>
        <w:autoSpaceDE w:val="0"/>
        <w:autoSpaceDN w:val="0"/>
        <w:adjustRightInd w:val="0"/>
        <w:spacing w:after="0" w:line="240" w:lineRule="auto"/>
        <w:jc w:val="both"/>
        <w:rPr>
          <w:rFonts w:ascii="Times New Roman" w:eastAsia="Times New Roman" w:hAnsi="Times New Roman" w:cs="Times New Roman"/>
          <w:noProof/>
          <w:color w:val="000000"/>
          <w:lang w:eastAsia="en-GB"/>
        </w:rPr>
      </w:pP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the high level of public debt in a context of higher market volatility and high unemployment. Productivi</w:t>
      </w:r>
      <w:r>
        <w:rPr>
          <w:rFonts w:ascii="Times New Roman" w:eastAsia="Calibri" w:hAnsi="Times New Roman" w:cs="Times New Roman"/>
          <w:i/>
          <w:noProof/>
        </w:rPr>
        <w:t>ty dynamics remain weak amid renewed concerns about the bank-sovereign feedback loop. Therefore, the Commission finds it opportune, also taking into account the identification of an excessive imbalance in March 2018, to examine further the persistence of m</w:t>
      </w:r>
      <w:r>
        <w:rPr>
          <w:rFonts w:ascii="Times New Roman" w:eastAsia="Calibri" w:hAnsi="Times New Roman" w:cs="Times New Roman"/>
          <w:i/>
          <w:noProof/>
        </w:rPr>
        <w:t>acroeconomic risks and to monitor progress in the unwinding of excessive imbalances.</w:t>
      </w:r>
    </w:p>
    <w:p w:rsidR="007E447C" w:rsidRDefault="007E447C">
      <w:pPr>
        <w:spacing w:after="160" w:line="259" w:lineRule="auto"/>
        <w:jc w:val="both"/>
        <w:rPr>
          <w:rFonts w:ascii="Times New Roman" w:eastAsia="Calibri" w:hAnsi="Times New Roman" w:cs="Times New Roman"/>
          <w:i/>
          <w:noProof/>
        </w:rPr>
      </w:pP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t>Cyprus:</w:t>
      </w:r>
      <w:r>
        <w:rPr>
          <w:rFonts w:ascii="Times New Roman" w:eastAsia="Calibri" w:hAnsi="Times New Roman" w:cs="Times New Roman"/>
          <w:noProof/>
        </w:rPr>
        <w:t xml:space="preserve"> In March 2018, the Commission concluded that Cyprus was experiencing </w:t>
      </w:r>
      <w:r>
        <w:rPr>
          <w:rFonts w:ascii="Times New Roman" w:eastAsia="Calibri" w:hAnsi="Times New Roman" w:cs="Times New Roman"/>
          <w:i/>
          <w:noProof/>
        </w:rPr>
        <w:t>excessive macroeconomic imbalances</w:t>
      </w:r>
      <w:r>
        <w:rPr>
          <w:rFonts w:ascii="Times New Roman" w:eastAsia="Calibri" w:hAnsi="Times New Roman" w:cs="Times New Roman"/>
          <w:noProof/>
        </w:rPr>
        <w:t xml:space="preserve">, in particular involving large stocks of private, public, </w:t>
      </w:r>
      <w:r>
        <w:rPr>
          <w:rFonts w:ascii="Times New Roman" w:eastAsia="Calibri" w:hAnsi="Times New Roman" w:cs="Times New Roman"/>
          <w:noProof/>
        </w:rPr>
        <w:t>and external debt and the high share of NPLs in the banking system. In the updated scoreboard, a number of indicators remain beyond the indicative threshold in 2017, namely the current account, the net international investment position (NIIP), the real eff</w:t>
      </w:r>
      <w:r>
        <w:rPr>
          <w:rFonts w:ascii="Times New Roman" w:eastAsia="Calibri" w:hAnsi="Times New Roman" w:cs="Times New Roman"/>
          <w:noProof/>
        </w:rPr>
        <w:t xml:space="preserve">ective exchange rate (REER), private sector debt and government debt, the unemployment rate as well as the change in labour activity rate.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96128" behindDoc="0" locked="0" layoutInCell="1" allowOverlap="1">
            <wp:simplePos x="0" y="0"/>
            <wp:positionH relativeFrom="column">
              <wp:posOffset>3110230</wp:posOffset>
            </wp:positionH>
            <wp:positionV relativeFrom="paragraph">
              <wp:posOffset>164465</wp:posOffset>
            </wp:positionV>
            <wp:extent cx="2647950" cy="286702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deficit widened in 2017 against a background of strong import growth and the negative NIIP rema</w:t>
      </w:r>
      <w:r>
        <w:rPr>
          <w:rFonts w:ascii="Times New Roman" w:eastAsia="Calibri" w:hAnsi="Times New Roman" w:cs="Times New Roman"/>
          <w:noProof/>
        </w:rPr>
        <w:t>ins substantial. Cost competitiveness adjustment reduced as unit labour costs grew marginally and the real effective exchange rate stabilized. The level of private indebtedness is amongst the highest in the EU, both for households and corporates, while the</w:t>
      </w:r>
      <w:r>
        <w:rPr>
          <w:rFonts w:ascii="Times New Roman" w:eastAsia="Calibri" w:hAnsi="Times New Roman" w:cs="Times New Roman"/>
          <w:noProof/>
        </w:rPr>
        <w:t xml:space="preserve"> deleveraging process is slow. In particular, household savings are negative. Downward adjustment in real house prices has passed its through and house prices started to moderately increase. The very high level of non-performing loans hampers the flow of c</w:t>
      </w:r>
      <w:r>
        <w:rPr>
          <w:rFonts w:ascii="Times New Roman" w:eastAsia="Calibri" w:hAnsi="Times New Roman" w:cs="Times New Roman"/>
          <w:noProof/>
        </w:rPr>
        <w:t>redit to the economy, which is required for supporting potential growth in the medium term. The government debt-to-GDP ratio remains very high. Unemployment is rapidly declining yet still elevated, in particular youth unemployment, though over the last thr</w:t>
      </w:r>
      <w:r>
        <w:rPr>
          <w:rFonts w:ascii="Times New Roman" w:eastAsia="Calibri" w:hAnsi="Times New Roman" w:cs="Times New Roman"/>
          <w:noProof/>
        </w:rPr>
        <w:t>ee years the long-term and the youth unemployment have improved.</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 xml:space="preserve">Overall, the economic reading highlights issues relating to external sustainability, public and private debt, vulnerabilities in the financial sector and labour market adjustment. Therefore, </w:t>
      </w:r>
      <w:r>
        <w:rPr>
          <w:rFonts w:ascii="Times New Roman" w:eastAsia="Calibri" w:hAnsi="Times New Roman" w:cs="Times New Roman"/>
          <w:i/>
          <w:noProof/>
        </w:rPr>
        <w:t>the Commission finds it useful, also taking into account the identification of an excessive imbalance in March 2018, to examine further the persistence of macroeconomic risks and to monitor progress in the unwinding of excessive imbalances.</w:t>
      </w:r>
    </w:p>
    <w:p w:rsidR="007E447C" w:rsidRDefault="007E447C">
      <w:pPr>
        <w:spacing w:after="160" w:line="259" w:lineRule="auto"/>
        <w:jc w:val="both"/>
        <w:rPr>
          <w:rFonts w:ascii="Times New Roman" w:eastAsia="Calibri" w:hAnsi="Times New Roman" w:cs="Times New Roman"/>
          <w:i/>
          <w:noProof/>
        </w:rPr>
      </w:pPr>
    </w:p>
    <w:p w:rsidR="007E447C" w:rsidRDefault="004D5789">
      <w:pPr>
        <w:rPr>
          <w:rFonts w:ascii="Times New Roman" w:eastAsia="Calibri" w:hAnsi="Times New Roman" w:cs="Times New Roman"/>
          <w:b/>
          <w:bCs/>
          <w:noProof/>
        </w:rPr>
      </w:pPr>
      <w:r>
        <w:rPr>
          <w:rFonts w:ascii="Times New Roman" w:eastAsia="Calibri" w:hAnsi="Times New Roman" w:cs="Times New Roman"/>
          <w:b/>
          <w:bCs/>
          <w:noProof/>
        </w:rPr>
        <w:t xml:space="preserve">Latvia: </w:t>
      </w:r>
      <w:r>
        <w:rPr>
          <w:rFonts w:ascii="Times New Roman" w:eastAsia="Calibri" w:hAnsi="Times New Roman" w:cs="Times New Roman"/>
          <w:noProof/>
        </w:rPr>
        <w:t xml:space="preserve">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Latvia. In the updated scoreboard, a number of indicators are beyond the indicative thresholds, namely the net international investment position (NIIP) and unit labour cost gr</w:t>
      </w:r>
      <w:r>
        <w:rPr>
          <w:rFonts w:ascii="Times New Roman" w:eastAsia="Calibri" w:hAnsi="Times New Roman" w:cs="Times New Roman"/>
          <w:noProof/>
        </w:rPr>
        <w:t xml:space="preserve">owth. </w:t>
      </w:r>
    </w:p>
    <w:p w:rsidR="007E447C" w:rsidRDefault="004D5789">
      <w:pPr>
        <w:autoSpaceDE w:val="0"/>
        <w:autoSpaceDN w:val="0"/>
        <w:adjustRightInd w:val="0"/>
        <w:spacing w:after="0" w:line="240" w:lineRule="auto"/>
        <w:jc w:val="both"/>
        <w:rPr>
          <w:rFonts w:ascii="Times New Roman" w:eastAsia="Calibri" w:hAnsi="Times New Roman" w:cs="Times New Roman"/>
          <w:noProof/>
        </w:rPr>
      </w:pPr>
      <w:r>
        <w:rPr>
          <w:noProof/>
          <w:lang w:eastAsia="en-GB"/>
        </w:rPr>
        <w:drawing>
          <wp:anchor distT="0" distB="0" distL="114300" distR="114300" simplePos="0" relativeHeight="251704320" behindDoc="0" locked="0" layoutInCell="1" allowOverlap="1">
            <wp:simplePos x="0" y="0"/>
            <wp:positionH relativeFrom="column">
              <wp:posOffset>3338830</wp:posOffset>
            </wp:positionH>
            <wp:positionV relativeFrom="paragraph">
              <wp:posOffset>6350</wp:posOffset>
            </wp:positionV>
            <wp:extent cx="2419350" cy="311467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935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is broadly balanced and the negative NIIP, which largely consists of FDI, has improved given the strong nominal GDP growth although it remains above the threshold. Unit labour costs have been growing fast for several years in co</w:t>
      </w:r>
      <w:r>
        <w:rPr>
          <w:rFonts w:ascii="Times New Roman" w:eastAsia="Calibri" w:hAnsi="Times New Roman" w:cs="Times New Roman"/>
          <w:noProof/>
        </w:rPr>
        <w:t>mparative terms, reflecting strong wage growth and a tight labour market and the indicator has remained above the scoreboard threshold since 2014. The impact on external price competitiveness and the export performance has been limited so far, cushioned in</w:t>
      </w:r>
      <w:r>
        <w:rPr>
          <w:rFonts w:ascii="Times New Roman" w:eastAsia="Calibri" w:hAnsi="Times New Roman" w:cs="Times New Roman"/>
          <w:noProof/>
        </w:rPr>
        <w:t xml:space="preserve"> part by reduced profit margins. Going forward, wage growth is expected to remain strong due to further tightening of the labour market. Altogether, these developments pose a risk to country's competiveness and the growth prospects over the medium term. Re</w:t>
      </w:r>
      <w:r>
        <w:rPr>
          <w:rFonts w:ascii="Times New Roman" w:eastAsia="Calibri" w:hAnsi="Times New Roman" w:cs="Times New Roman"/>
          <w:noProof/>
        </w:rPr>
        <w:t xml:space="preserve">al house price growth remains dynamic. While in 2017 house prices decelerated in comparison with 2016, they have accelerated again in the first half of 2018. Overall, credit growth has been subdued. Government and private debt are relatively low. </w:t>
      </w:r>
    </w:p>
    <w:p w:rsidR="007E447C" w:rsidRDefault="007E447C">
      <w:pPr>
        <w:autoSpaceDE w:val="0"/>
        <w:autoSpaceDN w:val="0"/>
        <w:adjustRightInd w:val="0"/>
        <w:spacing w:after="0" w:line="240" w:lineRule="auto"/>
        <w:jc w:val="both"/>
        <w:rPr>
          <w:rFonts w:ascii="Times New Roman" w:eastAsia="Calibri" w:hAnsi="Times New Roman" w:cs="Times New Roman"/>
          <w:noProof/>
        </w:rPr>
      </w:pPr>
    </w:p>
    <w:p w:rsidR="007E447C" w:rsidRDefault="004D5789">
      <w:pPr>
        <w:autoSpaceDE w:val="0"/>
        <w:autoSpaceDN w:val="0"/>
        <w:adjustRightInd w:val="0"/>
        <w:spacing w:after="0" w:line="240" w:lineRule="auto"/>
        <w:jc w:val="both"/>
        <w:rPr>
          <w:rFonts w:ascii="Times New Roman" w:eastAsia="Calibri" w:hAnsi="Times New Roman" w:cs="Times New Roman"/>
          <w:i/>
          <w:noProof/>
        </w:rPr>
      </w:pPr>
      <w:r>
        <w:rPr>
          <w:rFonts w:ascii="Times New Roman" w:eastAsia="Calibri" w:hAnsi="Times New Roman" w:cs="Times New Roman"/>
          <w:i/>
          <w:noProof/>
        </w:rPr>
        <w:t>Overall</w:t>
      </w:r>
      <w:r>
        <w:rPr>
          <w:rFonts w:ascii="Times New Roman" w:eastAsia="Calibri" w:hAnsi="Times New Roman" w:cs="Times New Roman"/>
          <w:i/>
          <w:noProof/>
        </w:rPr>
        <w:t xml:space="preserve">, the economic reading highlights issues relating to </w:t>
      </w:r>
      <w:r>
        <w:rPr>
          <w:rFonts w:ascii="Times New Roman" w:eastAsia="Calibri" w:hAnsi="Times New Roman" w:cs="Times New Roman"/>
          <w:i/>
          <w:iCs/>
          <w:noProof/>
        </w:rPr>
        <w:t>the dynamics in the labour market and the</w:t>
      </w:r>
      <w:r>
        <w:rPr>
          <w:rFonts w:ascii="Times New Roman" w:eastAsia="Calibri" w:hAnsi="Times New Roman" w:cs="Times New Roman"/>
          <w:i/>
          <w:noProof/>
        </w:rPr>
        <w:t xml:space="preserve"> external </w:t>
      </w:r>
      <w:r>
        <w:rPr>
          <w:rFonts w:ascii="Times New Roman" w:eastAsia="Calibri" w:hAnsi="Times New Roman" w:cs="Times New Roman"/>
          <w:i/>
          <w:iCs/>
          <w:noProof/>
        </w:rPr>
        <w:t xml:space="preserve">competitiveness </w:t>
      </w:r>
      <w:r>
        <w:rPr>
          <w:rFonts w:ascii="Times New Roman" w:eastAsia="Calibri" w:hAnsi="Times New Roman" w:cs="Times New Roman"/>
          <w:i/>
          <w:noProof/>
        </w:rPr>
        <w:t>although the risks appear contained at this stage. Therefore, the Commission does not see it necessary at this stage to carry out furthe</w:t>
      </w:r>
      <w:r>
        <w:rPr>
          <w:rFonts w:ascii="Times New Roman" w:eastAsia="Calibri" w:hAnsi="Times New Roman" w:cs="Times New Roman"/>
          <w:i/>
          <w:noProof/>
        </w:rPr>
        <w:t>r in-depth analysis in the context of the MIP.</w:t>
      </w:r>
      <w:r>
        <w:rPr>
          <w:rFonts w:ascii="Times New Roman" w:eastAsia="Calibri" w:hAnsi="Times New Roman" w:cs="Times New Roman"/>
          <w:i/>
          <w:iCs/>
          <w:noProof/>
        </w:rPr>
        <w:t xml:space="preserve"> </w:t>
      </w:r>
    </w:p>
    <w:p w:rsidR="007E447C" w:rsidRDefault="007E447C">
      <w:pPr>
        <w:spacing w:after="160" w:line="259" w:lineRule="auto"/>
        <w:rPr>
          <w:rFonts w:ascii="Times New Roman" w:eastAsia="Calibri" w:hAnsi="Times New Roman" w:cs="Times New Roman"/>
          <w:noProof/>
        </w:rPr>
      </w:pP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30944" behindDoc="0" locked="0" layoutInCell="1" allowOverlap="1">
            <wp:simplePos x="0" y="0"/>
            <wp:positionH relativeFrom="column">
              <wp:posOffset>3335020</wp:posOffset>
            </wp:positionH>
            <wp:positionV relativeFrom="paragraph">
              <wp:posOffset>78740</wp:posOffset>
            </wp:positionV>
            <wp:extent cx="2470150" cy="28448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015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Lithuania:</w:t>
      </w:r>
      <w:r>
        <w:rPr>
          <w:rFonts w:ascii="Times New Roman" w:eastAsia="Calibri" w:hAnsi="Times New Roman" w:cs="Times New Roman"/>
          <w:noProof/>
        </w:rPr>
        <w:t xml:space="preserve"> In previous rounds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Lithuania. In the updated scoreboard, a number of indicators are beyond the indicative thresholds, namely the net int</w:t>
      </w:r>
      <w:r>
        <w:rPr>
          <w:rFonts w:ascii="Times New Roman" w:eastAsia="Calibri" w:hAnsi="Times New Roman" w:cs="Times New Roman"/>
          <w:noProof/>
        </w:rPr>
        <w:t>ernational investment position (NIIP) and nominal unit labour costs.</w:t>
      </w:r>
      <w:r>
        <w:rPr>
          <w:rFonts w:ascii="Times New Roman" w:eastAsia="Calibri" w:hAnsi="Times New Roman" w:cs="Times New Roman"/>
          <w:i/>
          <w:noProof/>
        </w:rPr>
        <w:t xml:space="preserve"> </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The current account is broadly balanced and given the strong nominal GDP growth, the negative NIIP, which largely consists of FDI, has improved although it remains slightly above the thr</w:t>
      </w:r>
      <w:r>
        <w:rPr>
          <w:rFonts w:ascii="Times New Roman" w:eastAsia="Calibri" w:hAnsi="Times New Roman" w:cs="Times New Roman"/>
          <w:noProof/>
        </w:rPr>
        <w:t>eshold. Unit labour cost growth has been high for years in comparative terms, and the indicator has been beyond the scoreboard threshold since 2015, driven by high wage growth reflecting the tight labour market and, amongst other factors, a fast increase i</w:t>
      </w:r>
      <w:r>
        <w:rPr>
          <w:rFonts w:ascii="Times New Roman" w:eastAsia="Calibri" w:hAnsi="Times New Roman" w:cs="Times New Roman"/>
          <w:noProof/>
        </w:rPr>
        <w:t>n the minimum wage since 2016. The impact of rising labour costs on external cost competitiveness and the export performance has been limited so far, cushioned in part by reduced profit margins, which in itself may not be sustainable in the longer term. Go</w:t>
      </w:r>
      <w:r>
        <w:rPr>
          <w:rFonts w:ascii="Times New Roman" w:eastAsia="Calibri" w:hAnsi="Times New Roman" w:cs="Times New Roman"/>
          <w:noProof/>
        </w:rPr>
        <w:t>ing forward, wage growth is expected to remain strong in a context of falling unemployment and a tightening labour market. Altogether, these developments may weigh on the country's competiveness and the growth prospects over the medium term. House price gr</w:t>
      </w:r>
      <w:r>
        <w:rPr>
          <w:rFonts w:ascii="Times New Roman" w:eastAsia="Calibri" w:hAnsi="Times New Roman" w:cs="Times New Roman"/>
          <w:noProof/>
        </w:rPr>
        <w:t>owth has been dynamic in recent years, gradually increasing although still within the threshold. Credit growth has picked up. Public and private debt levels continue to be relatively low and stable.</w:t>
      </w:r>
    </w:p>
    <w:p w:rsidR="007E447C" w:rsidRDefault="004D5789">
      <w:pPr>
        <w:autoSpaceDE w:val="0"/>
        <w:autoSpaceDN w:val="0"/>
        <w:adjustRightInd w:val="0"/>
        <w:spacing w:after="0" w:line="240" w:lineRule="auto"/>
        <w:jc w:val="both"/>
        <w:rPr>
          <w:rFonts w:ascii="Times New Roman" w:eastAsia="Calibri" w:hAnsi="Times New Roman" w:cs="Times New Roman"/>
          <w:i/>
          <w:noProof/>
        </w:rPr>
      </w:pPr>
      <w:r>
        <w:rPr>
          <w:rFonts w:ascii="Times New Roman" w:eastAsia="Calibri" w:hAnsi="Times New Roman" w:cs="Times New Roman"/>
          <w:i/>
          <w:noProof/>
        </w:rPr>
        <w:t xml:space="preserve">Overall, the economic reading highlights issues relating </w:t>
      </w:r>
      <w:r>
        <w:rPr>
          <w:rFonts w:ascii="Times New Roman" w:eastAsia="Calibri" w:hAnsi="Times New Roman" w:cs="Times New Roman"/>
          <w:i/>
          <w:noProof/>
        </w:rPr>
        <w:t xml:space="preserve">to </w:t>
      </w:r>
      <w:r>
        <w:rPr>
          <w:rFonts w:ascii="Times New Roman" w:eastAsia="Calibri" w:hAnsi="Times New Roman" w:cs="Times New Roman"/>
          <w:i/>
          <w:iCs/>
          <w:noProof/>
        </w:rPr>
        <w:t xml:space="preserve">unit labour costs dynamics and </w:t>
      </w:r>
      <w:r>
        <w:rPr>
          <w:rFonts w:ascii="Times New Roman" w:eastAsia="Calibri" w:hAnsi="Times New Roman" w:cs="Times New Roman"/>
          <w:i/>
          <w:noProof/>
        </w:rPr>
        <w:t xml:space="preserve">external </w:t>
      </w:r>
      <w:r>
        <w:rPr>
          <w:rFonts w:ascii="Times New Roman" w:eastAsia="Calibri" w:hAnsi="Times New Roman" w:cs="Times New Roman"/>
          <w:i/>
          <w:iCs/>
          <w:noProof/>
        </w:rPr>
        <w:t>competitiveness</w:t>
      </w:r>
      <w:r>
        <w:rPr>
          <w:rFonts w:ascii="Times New Roman" w:eastAsia="Calibri" w:hAnsi="Times New Roman" w:cs="Times New Roman"/>
          <w:i/>
          <w:noProof/>
        </w:rPr>
        <w:t xml:space="preserve"> although the risks appear contained at this stage. Therefore, the Commission does not see it necessary at this stage to carry out further in-depth analysis in the context of the MIP.</w:t>
      </w:r>
    </w:p>
    <w:p w:rsidR="007E447C" w:rsidRDefault="007E447C">
      <w:pPr>
        <w:spacing w:after="160" w:line="259" w:lineRule="auto"/>
        <w:jc w:val="both"/>
        <w:rPr>
          <w:rFonts w:ascii="Times New Roman" w:eastAsia="Calibri" w:hAnsi="Times New Roman" w:cs="Times New Roman"/>
          <w:i/>
          <w:noProof/>
        </w:rPr>
      </w:pP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24800" behindDoc="0" locked="0" layoutInCell="1" allowOverlap="1">
            <wp:simplePos x="0" y="0"/>
            <wp:positionH relativeFrom="column">
              <wp:posOffset>3206115</wp:posOffset>
            </wp:positionH>
            <wp:positionV relativeFrom="paragraph">
              <wp:posOffset>4445</wp:posOffset>
            </wp:positionV>
            <wp:extent cx="2558415" cy="28663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841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Luxembourg:</w:t>
      </w:r>
      <w:r>
        <w:rPr>
          <w:rFonts w:ascii="Times New Roman" w:eastAsia="Calibri" w:hAnsi="Times New Roman" w:cs="Times New Roman"/>
          <w:noProof/>
        </w:rPr>
        <w:t xml:space="preserve"> </w:t>
      </w:r>
      <w:r>
        <w:rPr>
          <w:rFonts w:ascii="Times New Roman" w:eastAsia="Calibri" w:hAnsi="Times New Roman" w:cs="Times New Roman"/>
          <w:noProof/>
        </w:rPr>
        <w:t xml:space="preserve">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Luxembourg. In the updated scoreboard, a number of indicators are beyond the indicative threshold, namely private indebtedness as well as the change in the activity rate and t</w:t>
      </w:r>
      <w:r>
        <w:rPr>
          <w:rFonts w:ascii="Times New Roman" w:eastAsia="Calibri" w:hAnsi="Times New Roman" w:cs="Times New Roman"/>
          <w:noProof/>
        </w:rPr>
        <w:t xml:space="preserve">he long-term unemployment rate. </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The external position continues to show a stable current account surplus and a positive and constant NIIP. However, the country's position as an international financial centre has a more important impact on the figures than</w:t>
      </w:r>
      <w:r>
        <w:rPr>
          <w:rFonts w:ascii="Times New Roman" w:eastAsia="Calibri" w:hAnsi="Times New Roman" w:cs="Times New Roman"/>
          <w:noProof/>
        </w:rPr>
        <w:t xml:space="preserve"> the activity of the domestic economy. Cumulated export market shares gains have stabilised. However, some market losses have been recorded most recently, partially fostered by the worsening in cost competitiveness, deteriorated in turn by the stronger uni</w:t>
      </w:r>
      <w:r>
        <w:rPr>
          <w:rFonts w:ascii="Times New Roman" w:eastAsia="Calibri" w:hAnsi="Times New Roman" w:cs="Times New Roman"/>
          <w:noProof/>
        </w:rPr>
        <w:t>t labour cost growth and import prices growth. During the last decade, real house prices have been growing at a relatively high rate which overall continue to warrant close monitoring. The increase in house prices takes place in the context of a dynamic la</w:t>
      </w:r>
      <w:r>
        <w:rPr>
          <w:rFonts w:ascii="Times New Roman" w:eastAsia="Calibri" w:hAnsi="Times New Roman" w:cs="Times New Roman"/>
          <w:noProof/>
        </w:rPr>
        <w:t>bour market combined with the sizeable net migration flows and favourable financing conditions while supply is relatively constrained and remains insufficient to counteract strong demand. Housing affordability keeps on deteriorating in view of constantly i</w:t>
      </w:r>
      <w:r>
        <w:rPr>
          <w:rFonts w:ascii="Times New Roman" w:eastAsia="Calibri" w:hAnsi="Times New Roman" w:cs="Times New Roman"/>
          <w:noProof/>
        </w:rPr>
        <w:t>ncreasing house prices. Corporate indebtedness is very high but this is mostly related to cross-border intracompany loans. The level of household debt, mostly mortgages, has been steadily increasing, reflecting the dynamism of the real estate market and fa</w:t>
      </w:r>
      <w:r>
        <w:rPr>
          <w:rFonts w:ascii="Times New Roman" w:eastAsia="Calibri" w:hAnsi="Times New Roman" w:cs="Times New Roman"/>
          <w:noProof/>
        </w:rPr>
        <w:t>vourable credit conditions. Although lower interest rates and longer mortgage duration have lessened households' financial strain and most of new mortgages are set on fixed rates, a large share of indebted households remains exposed to interest rates hikes</w:t>
      </w:r>
      <w:r>
        <w:rPr>
          <w:rFonts w:ascii="Times New Roman" w:eastAsia="Calibri" w:hAnsi="Times New Roman" w:cs="Times New Roman"/>
          <w:noProof/>
        </w:rPr>
        <w:t>. Risks for the country financial stability are however mitigated by the solidity of the banking sector. Public debt remains very low. Despite the recent economic slowdown, the labour market is tightening and unemployment declining further.</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w:t>
      </w:r>
      <w:r>
        <w:rPr>
          <w:rFonts w:ascii="Times New Roman" w:eastAsia="Calibri" w:hAnsi="Times New Roman" w:cs="Times New Roman"/>
          <w:i/>
          <w:noProof/>
        </w:rPr>
        <w:t>onomic reading points mainly to some contained risks related to constantly increasing housing prices and household debt. Therefore, the Commission will at this stage not carry out further in-depth analysis in the context of the MIP.</w:t>
      </w:r>
    </w:p>
    <w:p w:rsidR="007E447C" w:rsidRDefault="007E447C">
      <w:pPr>
        <w:rPr>
          <w:rFonts w:ascii="Times New Roman" w:eastAsia="Calibri" w:hAnsi="Times New Roman" w:cs="Times New Roman"/>
          <w:b/>
          <w:bCs/>
          <w:noProof/>
        </w:rPr>
      </w:pPr>
    </w:p>
    <w:p w:rsidR="007E447C" w:rsidRDefault="004D5789">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eastAsia="Calibri" w:hAnsi="Times New Roman" w:cs="Times New Roman"/>
          <w:b/>
          <w:bCs/>
          <w:noProof/>
        </w:rPr>
        <w:t xml:space="preserve">Hungary: </w:t>
      </w:r>
      <w:r>
        <w:rPr>
          <w:rFonts w:ascii="Times New Roman" w:eastAsia="Calibri" w:hAnsi="Times New Roman" w:cs="Times New Roman"/>
          <w:noProof/>
        </w:rPr>
        <w:t xml:space="preserve">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t>
      </w:r>
      <w:r>
        <w:rPr>
          <w:rFonts w:ascii="Times New Roman" w:eastAsia="Calibri" w:hAnsi="Times New Roman" w:cs="Times New Roman"/>
          <w:i/>
          <w:noProof/>
        </w:rPr>
        <w:t>were identified</w:t>
      </w:r>
      <w:r>
        <w:rPr>
          <w:rFonts w:ascii="Times New Roman" w:eastAsia="Calibri" w:hAnsi="Times New Roman" w:cs="Times New Roman"/>
          <w:noProof/>
        </w:rPr>
        <w:t xml:space="preserve"> in Hungary. In the updated scoreboard, some indicators are beyond the indicative threshold, namely net international investment position (NIIP) and government debt. </w:t>
      </w:r>
    </w:p>
    <w:p w:rsidR="007E447C" w:rsidRDefault="004D5789">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eastAsia="en-GB"/>
        </w:rPr>
        <w:drawing>
          <wp:anchor distT="0" distB="0" distL="114300" distR="114300" simplePos="0" relativeHeight="251723776" behindDoc="0" locked="0" layoutInCell="1" allowOverlap="1">
            <wp:simplePos x="0" y="0"/>
            <wp:positionH relativeFrom="column">
              <wp:posOffset>3215494</wp:posOffset>
            </wp:positionH>
            <wp:positionV relativeFrom="paragraph">
              <wp:posOffset>8792</wp:posOffset>
            </wp:positionV>
            <wp:extent cx="2549525" cy="2919095"/>
            <wp:effectExtent l="0" t="0" r="317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952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surplus over recent years has implied a rapid and sustained improvement in the negative NIIP which also to a large extent reflects FDI. Export market shares increased in 2017, supported by a growing car industry. Nominal unit labour cos</w:t>
      </w:r>
      <w:r>
        <w:rPr>
          <w:rFonts w:ascii="Times New Roman" w:eastAsia="Calibri" w:hAnsi="Times New Roman" w:cs="Times New Roman"/>
          <w:noProof/>
        </w:rPr>
        <w:t>ts have been substantially increasing in a context of a tightening labour market. Administrative wage increases also added to labour cost increases, but they were partly offset by the reduction of employers’ social contributions. Lending flows to the priva</w:t>
      </w:r>
      <w:r>
        <w:rPr>
          <w:rFonts w:ascii="Times New Roman" w:eastAsia="Calibri" w:hAnsi="Times New Roman" w:cs="Times New Roman"/>
          <w:noProof/>
        </w:rPr>
        <w:t>te sector turned positive but the stock of private sector credit continued to decrease in 2017. The growth of real house prices has moderated after significant increases in previous years. Nonetheless, high valuations in certain regions and the fast run-up</w:t>
      </w:r>
      <w:r>
        <w:rPr>
          <w:rFonts w:ascii="Times New Roman" w:eastAsia="Calibri" w:hAnsi="Times New Roman" w:cs="Times New Roman"/>
          <w:noProof/>
        </w:rPr>
        <w:t xml:space="preserve"> of mortgage lending warrant attention. The ongoing recovery in the real estate market may contribute to further reduce the share of non-performing loans, which is still high. The banking sector has improved its profitability and its shock-absorbing capaci</w:t>
      </w:r>
      <w:r>
        <w:rPr>
          <w:rFonts w:ascii="Times New Roman" w:eastAsia="Calibri" w:hAnsi="Times New Roman" w:cs="Times New Roman"/>
          <w:noProof/>
        </w:rPr>
        <w:t>ty. Despite a favourable economic cycle, government debt has declined only gradually on the back of pro-cyclical fiscal policy. Unemployment decreased to historic low levels and the tightening labour market contributed to rapid wage growth, which continued</w:t>
      </w:r>
      <w:r>
        <w:rPr>
          <w:rFonts w:ascii="Times New Roman" w:eastAsia="Calibri" w:hAnsi="Times New Roman" w:cs="Times New Roman"/>
          <w:noProof/>
        </w:rPr>
        <w:t xml:space="preserve"> to exceed productivity gains. </w:t>
      </w:r>
    </w:p>
    <w:p w:rsidR="007E447C" w:rsidRDefault="004D5789">
      <w:pPr>
        <w:autoSpaceDE w:val="0"/>
        <w:autoSpaceDN w:val="0"/>
        <w:adjustRightInd w:val="0"/>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the housing market and a tightening labour market, although risks appear contained. The Commission will at this stage not carry out further in-depth analysis in the</w:t>
      </w:r>
      <w:r>
        <w:rPr>
          <w:rFonts w:ascii="Times New Roman" w:eastAsia="Calibri" w:hAnsi="Times New Roman" w:cs="Times New Roman"/>
          <w:i/>
          <w:noProof/>
        </w:rPr>
        <w:t xml:space="preserve"> context of the MIP. </w:t>
      </w:r>
    </w:p>
    <w:p w:rsidR="007E447C" w:rsidRDefault="007E447C">
      <w:pPr>
        <w:spacing w:after="160" w:line="259" w:lineRule="auto"/>
        <w:rPr>
          <w:rFonts w:ascii="Times New Roman" w:eastAsia="Calibri" w:hAnsi="Times New Roman" w:cs="Times New Roman"/>
          <w:noProof/>
        </w:rPr>
      </w:pP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color w:val="000000"/>
        </w:rPr>
        <w:t>Malta</w:t>
      </w:r>
      <w:r>
        <w:rPr>
          <w:rFonts w:ascii="Times New Roman" w:eastAsia="Calibri" w:hAnsi="Times New Roman" w:cs="Times New Roman"/>
          <w:noProof/>
          <w:color w:val="000000"/>
          <w:lang w:eastAsia="en-GB"/>
        </w:rPr>
        <w:t xml:space="preserve">: </w:t>
      </w:r>
      <w:r>
        <w:rPr>
          <w:rFonts w:ascii="Times New Roman" w:eastAsia="Calibri" w:hAnsi="Times New Roman" w:cs="Times New Roman"/>
          <w:noProof/>
          <w:color w:val="000000"/>
        </w:rPr>
        <w:t xml:space="preserve">In the previous round of the MIP, </w:t>
      </w:r>
      <w:r>
        <w:rPr>
          <w:rFonts w:ascii="Times New Roman" w:eastAsia="Calibri" w:hAnsi="Times New Roman" w:cs="Times New Roman"/>
          <w:i/>
          <w:noProof/>
          <w:color w:val="000000"/>
        </w:rPr>
        <w:t>no macroeconomic imbalances</w:t>
      </w:r>
      <w:r>
        <w:rPr>
          <w:rFonts w:ascii="Times New Roman" w:eastAsia="Calibri" w:hAnsi="Times New Roman" w:cs="Times New Roman"/>
          <w:noProof/>
          <w:color w:val="000000"/>
        </w:rPr>
        <w:t xml:space="preserve"> were identified in Malta. In the updated scoreboard, the current account balance is beyond the indicative threshold.</w:t>
      </w:r>
      <w:r>
        <w:rPr>
          <w:noProof/>
          <w:lang w:val="en-IE" w:eastAsia="fr-BE"/>
        </w:rPr>
        <w:t xml:space="preserve"> </w:t>
      </w:r>
    </w:p>
    <w:p w:rsidR="007E447C" w:rsidRDefault="004D5789">
      <w:pPr>
        <w:autoSpaceDE w:val="0"/>
        <w:autoSpaceDN w:val="0"/>
        <w:adjustRightInd w:val="0"/>
        <w:spacing w:before="120"/>
        <w:jc w:val="both"/>
        <w:rPr>
          <w:rFonts w:ascii="Times New Roman" w:eastAsia="Times New Roman" w:hAnsi="Times New Roman" w:cs="Times New Roman"/>
          <w:noProof/>
          <w:color w:val="000000"/>
          <w:lang w:eastAsia="en-GB"/>
        </w:rPr>
      </w:pPr>
      <w:r>
        <w:rPr>
          <w:noProof/>
          <w:lang w:eastAsia="en-GB"/>
        </w:rPr>
        <w:drawing>
          <wp:anchor distT="0" distB="0" distL="114300" distR="114300" simplePos="0" relativeHeight="251722752" behindDoc="0" locked="0" layoutInCell="1" allowOverlap="1">
            <wp:simplePos x="0" y="0"/>
            <wp:positionH relativeFrom="column">
              <wp:posOffset>3157025</wp:posOffset>
            </wp:positionH>
            <wp:positionV relativeFrom="paragraph">
              <wp:posOffset>9428</wp:posOffset>
            </wp:positionV>
            <wp:extent cx="2611120" cy="2866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112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lang w:eastAsia="en-GB"/>
        </w:rPr>
        <w:t>The high current account surplus increased fu</w:t>
      </w:r>
      <w:r>
        <w:rPr>
          <w:rFonts w:ascii="Times New Roman" w:eastAsia="Times New Roman" w:hAnsi="Times New Roman" w:cs="Times New Roman"/>
          <w:noProof/>
          <w:color w:val="000000"/>
          <w:lang w:eastAsia="en-GB"/>
        </w:rPr>
        <w:t>rther in 2017 to significantly high levels, coinciding with a strong improvement of the already positive net international investment position. However, the external position reflects fluctuations in the internationally-oriented corporate sector rather tha</w:t>
      </w:r>
      <w:r>
        <w:rPr>
          <w:rFonts w:ascii="Times New Roman" w:eastAsia="Times New Roman" w:hAnsi="Times New Roman" w:cs="Times New Roman"/>
          <w:noProof/>
          <w:color w:val="000000"/>
          <w:lang w:eastAsia="en-GB"/>
        </w:rPr>
        <w:t>n domestic developments. Cost competitiveness developments and REER developments have been relatively favourable, while moderate wage developments coupled with relatively strong labour productivity growth have kept unit labour cost growth moderate. The pri</w:t>
      </w:r>
      <w:r>
        <w:rPr>
          <w:rFonts w:ascii="Times New Roman" w:eastAsia="Times New Roman" w:hAnsi="Times New Roman" w:cs="Times New Roman"/>
          <w:noProof/>
          <w:color w:val="000000"/>
          <w:lang w:eastAsia="en-GB"/>
        </w:rPr>
        <w:t xml:space="preserve">vate sector debt-to-GDP ratio decreased substantially in 2017, underpinned by strong nominal GDP growth. While corporate sector leverage remains high, the growth rate of credit to households has been decelerating. The government debt-to-GDP ratio has been </w:t>
      </w:r>
      <w:r>
        <w:rPr>
          <w:rFonts w:ascii="Times New Roman" w:eastAsia="Times New Roman" w:hAnsi="Times New Roman" w:cs="Times New Roman"/>
          <w:noProof/>
          <w:color w:val="000000"/>
          <w:lang w:eastAsia="en-GB"/>
        </w:rPr>
        <w:t>on a firm downward trend. Real house prices have increased in 2017, warranting monitoring. In particular, the strong economic activity and limited possibilities to invest private savings has led to a renewed interest in the housing market. Asset quality in</w:t>
      </w:r>
      <w:r>
        <w:rPr>
          <w:rFonts w:ascii="Times New Roman" w:eastAsia="Times New Roman" w:hAnsi="Times New Roman" w:cs="Times New Roman"/>
          <w:noProof/>
          <w:color w:val="000000"/>
          <w:lang w:eastAsia="en-GB"/>
        </w:rPr>
        <w:t xml:space="preserve"> the domestic banking sector is improving and the available capital buffers appear sufficient to absorb immediate risks that could emerge from the housing market or from the perceived institutional framework. The labour market continues to perform vigorous</w:t>
      </w:r>
      <w:r>
        <w:rPr>
          <w:rFonts w:ascii="Times New Roman" w:eastAsia="Times New Roman" w:hAnsi="Times New Roman" w:cs="Times New Roman"/>
          <w:noProof/>
          <w:color w:val="000000"/>
          <w:lang w:eastAsia="en-GB"/>
        </w:rPr>
        <w:t xml:space="preserve">ly, with strong employment growth accompanied by low and further declining unemployment. </w:t>
      </w:r>
    </w:p>
    <w:p w:rsidR="007E447C" w:rsidRDefault="004D5789">
      <w:pPr>
        <w:autoSpaceDE w:val="0"/>
        <w:autoSpaceDN w:val="0"/>
        <w:adjustRightInd w:val="0"/>
        <w:spacing w:before="120"/>
        <w:jc w:val="both"/>
        <w:rPr>
          <w:rFonts w:ascii="Times New Roman" w:eastAsia="Times New Roman" w:hAnsi="Times New Roman" w:cs="Times New Roman"/>
          <w:i/>
          <w:iCs/>
          <w:noProof/>
          <w:color w:val="000000"/>
          <w:lang w:eastAsia="en-GB"/>
        </w:rPr>
      </w:pPr>
      <w:r>
        <w:rPr>
          <w:rFonts w:ascii="Times New Roman" w:eastAsia="Times New Roman" w:hAnsi="Times New Roman" w:cs="Times New Roman"/>
          <w:i/>
          <w:iCs/>
          <w:noProof/>
          <w:color w:val="000000"/>
          <w:lang w:eastAsia="en-GB"/>
        </w:rPr>
        <w:t>Overall, the economic reading points to issues related to the external position and housing markets in the context of robust economic growth although risks appears co</w:t>
      </w:r>
      <w:r>
        <w:rPr>
          <w:rFonts w:ascii="Times New Roman" w:eastAsia="Times New Roman" w:hAnsi="Times New Roman" w:cs="Times New Roman"/>
          <w:i/>
          <w:iCs/>
          <w:noProof/>
          <w:color w:val="000000"/>
          <w:lang w:eastAsia="en-GB"/>
        </w:rPr>
        <w:t>ntained at this stage. Therefore, the Commission will at this stage not carry out further in-depth analysis in the context of the MIP.</w:t>
      </w:r>
    </w:p>
    <w:p w:rsidR="007E447C" w:rsidRDefault="007E447C">
      <w:pPr>
        <w:spacing w:after="160" w:line="259" w:lineRule="auto"/>
        <w:jc w:val="both"/>
        <w:rPr>
          <w:rFonts w:ascii="Times New Roman" w:eastAsia="Calibri" w:hAnsi="Times New Roman" w:cs="Times New Roman"/>
          <w:b/>
          <w:noProof/>
        </w:rPr>
      </w:pPr>
    </w:p>
    <w:p w:rsidR="007E447C" w:rsidRDefault="004D5789">
      <w:pPr>
        <w:spacing w:after="160" w:line="259" w:lineRule="auto"/>
        <w:jc w:val="both"/>
        <w:rPr>
          <w:noProof/>
        </w:rPr>
      </w:pPr>
      <w:r>
        <w:rPr>
          <w:rFonts w:ascii="Times New Roman" w:eastAsia="Calibri" w:hAnsi="Times New Roman" w:cs="Times New Roman"/>
          <w:b/>
          <w:noProof/>
        </w:rPr>
        <w:t>The Netherlands:</w:t>
      </w:r>
      <w:r>
        <w:rPr>
          <w:rFonts w:ascii="Times New Roman" w:eastAsia="Calibri" w:hAnsi="Times New Roman" w:cs="Times New Roman"/>
          <w:noProof/>
        </w:rPr>
        <w:t xml:space="preserve"> In March 2018, the Commission concluded that the Netherlands was experiencing </w:t>
      </w:r>
      <w:r>
        <w:rPr>
          <w:rFonts w:ascii="Times New Roman" w:eastAsia="Calibri" w:hAnsi="Times New Roman" w:cs="Times New Roman"/>
          <w:i/>
          <w:noProof/>
        </w:rPr>
        <w:t>macroeconomic imbalances</w:t>
      </w:r>
      <w:r>
        <w:rPr>
          <w:rFonts w:ascii="Times New Roman" w:eastAsia="Calibri" w:hAnsi="Times New Roman" w:cs="Times New Roman"/>
          <w:noProof/>
        </w:rPr>
        <w:t>, in particular involving a high stock of private debt and the large current account surplus. In the updated scoreboard a number of indicators are beyond the indicative threshold, namely the three year average of the current account balance, private sector</w:t>
      </w:r>
      <w:r>
        <w:rPr>
          <w:rFonts w:ascii="Times New Roman" w:eastAsia="Calibri" w:hAnsi="Times New Roman" w:cs="Times New Roman"/>
          <w:noProof/>
        </w:rPr>
        <w:t xml:space="preserve"> debt and real house price growth.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05344" behindDoc="0" locked="0" layoutInCell="1" allowOverlap="1">
            <wp:simplePos x="0" y="0"/>
            <wp:positionH relativeFrom="column">
              <wp:posOffset>3148330</wp:posOffset>
            </wp:positionH>
            <wp:positionV relativeFrom="paragraph">
              <wp:posOffset>7620</wp:posOffset>
            </wp:positionV>
            <wp:extent cx="2600325" cy="2905125"/>
            <wp:effectExtent l="0" t="0" r="952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03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surplus remains very high and increased further in 2017 while the positive net international investment position decreased slightly. While all sectors are net savers, the current account surplus incr</w:t>
      </w:r>
      <w:r>
        <w:rPr>
          <w:rFonts w:ascii="Times New Roman" w:eastAsia="Calibri" w:hAnsi="Times New Roman" w:cs="Times New Roman"/>
          <w:noProof/>
        </w:rPr>
        <w:t>ease in 2017 was mainly driven by non-financial corporations with a savings surplus related to relatively high corporate profitability and a comparatively low investment rate. Unit labour cost developments are muted with wage growth in line with productivi</w:t>
      </w:r>
      <w:r>
        <w:rPr>
          <w:rFonts w:ascii="Times New Roman" w:eastAsia="Calibri" w:hAnsi="Times New Roman" w:cs="Times New Roman"/>
          <w:noProof/>
        </w:rPr>
        <w:t>ty developments. Private debt is at high levels where corporate debt is also explained by intra-group debt of multinationals. Household debt is high and fuelled by a generous tax treatment of owner-occupied homes and favourable mortgage rates. While househ</w:t>
      </w:r>
      <w:r>
        <w:rPr>
          <w:rFonts w:ascii="Times New Roman" w:eastAsia="Calibri" w:hAnsi="Times New Roman" w:cs="Times New Roman"/>
          <w:noProof/>
        </w:rPr>
        <w:t xml:space="preserve">old debt as a share of GDP is on a decreasing trend, nominal debt is increasing again. There is a strong recovery in the housing market as house prices accelerated further in 2017, </w:t>
      </w:r>
      <w:r>
        <w:rPr>
          <w:rFonts w:ascii="Times New Roman" w:hAnsi="Times New Roman" w:cs="Times New Roman"/>
          <w:noProof/>
        </w:rPr>
        <w:t>also in the context of a sub-optimally functioning rental market</w:t>
      </w:r>
      <w:r>
        <w:rPr>
          <w:rFonts w:ascii="Times New Roman" w:eastAsia="Calibri" w:hAnsi="Times New Roman" w:cs="Times New Roman"/>
          <w:noProof/>
        </w:rPr>
        <w:t>. The labou</w:t>
      </w:r>
      <w:r>
        <w:rPr>
          <w:rFonts w:ascii="Times New Roman" w:eastAsia="Calibri" w:hAnsi="Times New Roman" w:cs="Times New Roman"/>
          <w:noProof/>
        </w:rPr>
        <w:t>r is tightening with low and falling unemployment.</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the high household debt and the large domestic savings surplus. Therefore, the Commission finds it opportune, also taking into account the identi</w:t>
      </w:r>
      <w:r>
        <w:rPr>
          <w:rFonts w:ascii="Times New Roman" w:eastAsia="Calibri" w:hAnsi="Times New Roman" w:cs="Times New Roman"/>
          <w:i/>
          <w:noProof/>
        </w:rPr>
        <w:t>fication of an imbalance in March 2018, to examine further the persistence of imbalances or their unwinding.</w:t>
      </w:r>
    </w:p>
    <w:p w:rsidR="007E447C" w:rsidRDefault="007E447C">
      <w:pPr>
        <w:spacing w:after="160" w:line="259" w:lineRule="auto"/>
        <w:jc w:val="both"/>
        <w:rPr>
          <w:rFonts w:ascii="Times New Roman" w:eastAsia="Calibri" w:hAnsi="Times New Roman" w:cs="Times New Roman"/>
          <w:i/>
          <w:noProof/>
        </w:rPr>
      </w:pPr>
    </w:p>
    <w:p w:rsidR="007E447C" w:rsidRDefault="004D5789">
      <w:pPr>
        <w:rPr>
          <w:rFonts w:ascii="Times New Roman" w:eastAsia="Calibri" w:hAnsi="Times New Roman" w:cs="Times New Roman"/>
          <w:b/>
          <w:noProof/>
          <w:lang w:eastAsia="en-GB"/>
        </w:rPr>
      </w:pPr>
      <w:r>
        <w:rPr>
          <w:rFonts w:ascii="Times New Roman" w:eastAsia="Calibri" w:hAnsi="Times New Roman" w:cs="Times New Roman"/>
          <w:b/>
          <w:noProof/>
          <w:lang w:eastAsia="en-GB"/>
        </w:rPr>
        <w:br w:type="page"/>
      </w:r>
    </w:p>
    <w:p w:rsidR="007E447C" w:rsidRDefault="004D5789">
      <w:pPr>
        <w:rPr>
          <w:rFonts w:ascii="Times New Roman" w:eastAsia="Calibri" w:hAnsi="Times New Roman" w:cs="Times New Roman"/>
          <w:b/>
          <w:noProof/>
          <w:lang w:eastAsia="en-GB"/>
        </w:rPr>
      </w:pPr>
      <w:r>
        <w:rPr>
          <w:rFonts w:ascii="Times New Roman" w:eastAsia="Calibri" w:hAnsi="Times New Roman" w:cs="Times New Roman"/>
          <w:b/>
          <w:noProof/>
          <w:lang w:eastAsia="en-GB"/>
        </w:rPr>
        <w:t>Austria:</w:t>
      </w:r>
      <w:r>
        <w:rPr>
          <w:rFonts w:ascii="Times New Roman" w:eastAsia="Calibri" w:hAnsi="Times New Roman" w:cs="Times New Roman"/>
          <w:noProof/>
          <w:lang w:eastAsia="en-GB"/>
        </w:rPr>
        <w:t xml:space="preserve"> In the previous round of the MIP, </w:t>
      </w:r>
      <w:r>
        <w:rPr>
          <w:rFonts w:ascii="Times New Roman" w:eastAsia="Calibri" w:hAnsi="Times New Roman" w:cs="Times New Roman"/>
          <w:i/>
          <w:noProof/>
          <w:lang w:eastAsia="en-GB"/>
        </w:rPr>
        <w:t>no macroeconomic imbalances</w:t>
      </w:r>
      <w:r>
        <w:rPr>
          <w:rFonts w:ascii="Times New Roman" w:eastAsia="Calibri" w:hAnsi="Times New Roman" w:cs="Times New Roman"/>
          <w:noProof/>
          <w:lang w:eastAsia="en-GB"/>
        </w:rPr>
        <w:t xml:space="preserve"> were identified in Austria. In the updated scoreboard, only the governmen</w:t>
      </w:r>
      <w:r>
        <w:rPr>
          <w:rFonts w:ascii="Times New Roman" w:eastAsia="Calibri" w:hAnsi="Times New Roman" w:cs="Times New Roman"/>
          <w:noProof/>
          <w:lang w:eastAsia="en-GB"/>
        </w:rPr>
        <w:t xml:space="preserve">t debt indicator is beyond the indicative threshold.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21728" behindDoc="0" locked="0" layoutInCell="1" allowOverlap="1">
            <wp:simplePos x="0" y="0"/>
            <wp:positionH relativeFrom="column">
              <wp:posOffset>3154925</wp:posOffset>
            </wp:positionH>
            <wp:positionV relativeFrom="paragraph">
              <wp:posOffset>8792</wp:posOffset>
            </wp:positionV>
            <wp:extent cx="2602230" cy="290131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223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lang w:eastAsia="en-GB"/>
        </w:rPr>
        <w:t xml:space="preserve">The current account surplus remained stable at a moderate level in 2017 with a slightly positive net international investment position. Export market shares were stable. </w:t>
      </w:r>
      <w:r>
        <w:rPr>
          <w:rFonts w:ascii="Times New Roman" w:eastAsia="Calibri" w:hAnsi="Times New Roman" w:cs="Times New Roman"/>
          <w:noProof/>
        </w:rPr>
        <w:t>U</w:t>
      </w:r>
      <w:r>
        <w:rPr>
          <w:rFonts w:ascii="Times New Roman" w:eastAsia="Calibri" w:hAnsi="Times New Roman" w:cs="Times New Roman"/>
          <w:noProof/>
          <w:lang w:eastAsia="en-GB"/>
        </w:rPr>
        <w:t>nit labour cost growth is low supported by an increase in labour productivity growth combined with limited wage growth. Real house prices continued its growing trend but at a decelerated pace in 2017 as compared to 2016. While these developments warrant mo</w:t>
      </w:r>
      <w:r>
        <w:rPr>
          <w:rFonts w:ascii="Times New Roman" w:eastAsia="Calibri" w:hAnsi="Times New Roman" w:cs="Times New Roman"/>
          <w:noProof/>
          <w:lang w:eastAsia="en-GB"/>
        </w:rPr>
        <w:t>nitoring, the price increase does not appear to be credit-driven and little acceleration in credit growth is observed. Moreover, both corporate and household debt ratios are slowly decreasing. Also government debt continued its downward path and declined i</w:t>
      </w:r>
      <w:r>
        <w:rPr>
          <w:rFonts w:ascii="Times New Roman" w:eastAsia="Calibri" w:hAnsi="Times New Roman" w:cs="Times New Roman"/>
          <w:noProof/>
          <w:lang w:eastAsia="en-GB"/>
        </w:rPr>
        <w:t>n 2017 on the back of strong economic growth and the ongoing asset wind-down from nationalised financial institutions. The banking sector situation improved further also linked to the recovery in neighbouring countries. In these favourable economic conditi</w:t>
      </w:r>
      <w:r>
        <w:rPr>
          <w:rFonts w:ascii="Times New Roman" w:eastAsia="Calibri" w:hAnsi="Times New Roman" w:cs="Times New Roman"/>
          <w:noProof/>
          <w:lang w:eastAsia="en-GB"/>
        </w:rPr>
        <w:t xml:space="preserve">ons and with strong employment growth, the unemployment rate decreased notably. </w:t>
      </w:r>
    </w:p>
    <w:p w:rsidR="007E447C" w:rsidRDefault="004D5789">
      <w:pPr>
        <w:spacing w:after="160" w:line="259" w:lineRule="auto"/>
        <w:jc w:val="both"/>
        <w:rPr>
          <w:rFonts w:ascii="Times New Roman" w:eastAsia="Calibri" w:hAnsi="Times New Roman" w:cs="Times New Roman"/>
          <w:i/>
          <w:noProof/>
          <w:lang w:eastAsia="en-GB"/>
        </w:rPr>
      </w:pPr>
      <w:r>
        <w:rPr>
          <w:rFonts w:ascii="Times New Roman" w:eastAsia="Calibri" w:hAnsi="Times New Roman" w:cs="Times New Roman"/>
          <w:i/>
          <w:noProof/>
          <w:lang w:eastAsia="en-GB"/>
        </w:rPr>
        <w:t>Overall, the economic reading highlights issues relating to the housing sector, but risks appear contained. Therefore, the Commission does not see it necessary at this stage t</w:t>
      </w:r>
      <w:r>
        <w:rPr>
          <w:rFonts w:ascii="Times New Roman" w:eastAsia="Calibri" w:hAnsi="Times New Roman" w:cs="Times New Roman"/>
          <w:i/>
          <w:noProof/>
          <w:lang w:eastAsia="en-GB"/>
        </w:rPr>
        <w:t>o carry out further in-depth analysis in the context of the MIP.</w:t>
      </w:r>
    </w:p>
    <w:p w:rsidR="007E447C" w:rsidRDefault="007E447C">
      <w:pPr>
        <w:spacing w:after="160" w:line="259" w:lineRule="auto"/>
        <w:jc w:val="both"/>
        <w:rPr>
          <w:rFonts w:ascii="Times New Roman" w:eastAsia="Calibri" w:hAnsi="Times New Roman" w:cs="Times New Roman"/>
          <w:i/>
          <w:noProof/>
          <w:lang w:eastAsia="en-GB"/>
        </w:rPr>
      </w:pP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t>Poland</w:t>
      </w:r>
      <w:r>
        <w:rPr>
          <w:rFonts w:ascii="Times New Roman" w:eastAsia="Calibri" w:hAnsi="Times New Roman" w:cs="Times New Roman"/>
          <w:noProof/>
        </w:rPr>
        <w:t xml:space="preserve">: 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Poland. In the updated scoreboard, the net international investment position (NIIP) is beyond the ind</w:t>
      </w:r>
      <w:r>
        <w:rPr>
          <w:rFonts w:ascii="Times New Roman" w:eastAsia="Calibri" w:hAnsi="Times New Roman" w:cs="Times New Roman"/>
          <w:noProof/>
        </w:rPr>
        <w:t xml:space="preserve">icative threshold.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08416" behindDoc="0" locked="0" layoutInCell="1" allowOverlap="1">
            <wp:simplePos x="0" y="0"/>
            <wp:positionH relativeFrom="column">
              <wp:posOffset>3232785</wp:posOffset>
            </wp:positionH>
            <wp:positionV relativeFrom="paragraph">
              <wp:posOffset>12065</wp:posOffset>
            </wp:positionV>
            <wp:extent cx="2524125" cy="2971800"/>
            <wp:effectExtent l="0" t="0" r="952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balance improved to a broadly balanced position in 2017 while the negative NIIP was stable. External vulnerabilities remain contained, given that foreign direct investments account for a major part of foreign liabil</w:t>
      </w:r>
      <w:r>
        <w:rPr>
          <w:rFonts w:ascii="Times New Roman" w:eastAsia="Calibri" w:hAnsi="Times New Roman" w:cs="Times New Roman"/>
          <w:noProof/>
        </w:rPr>
        <w:t>ities. Gains in export market shares were strong again in 2017. Coinciding with both strong productivity growth and rising wages, nominal unit labour cost growth is contained. The private sector debt-to-GDP ratio declined in 2017, reflecting strong GDP gro</w:t>
      </w:r>
      <w:r>
        <w:rPr>
          <w:rFonts w:ascii="Times New Roman" w:eastAsia="Calibri" w:hAnsi="Times New Roman" w:cs="Times New Roman"/>
          <w:noProof/>
        </w:rPr>
        <w:t>wth and an appreciation of the zloty against the currencies in which part of the outstanding debt stock is denominated. General government debt, measured as percentage of GDP, decreased further from already relatively low levels on the back of fast nominal</w:t>
      </w:r>
      <w:r>
        <w:rPr>
          <w:rFonts w:ascii="Times New Roman" w:eastAsia="Calibri" w:hAnsi="Times New Roman" w:cs="Times New Roman"/>
          <w:noProof/>
        </w:rPr>
        <w:t xml:space="preserve"> economic growth, a lower headline deficit and an appreciation of the zloty. Banking sector risks remained contained. The strong labour market performance persisted, resulting in a decline in the unemployment rate to a very low level.</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w:t>
      </w:r>
      <w:r>
        <w:rPr>
          <w:rFonts w:ascii="Times New Roman" w:eastAsia="Calibri" w:hAnsi="Times New Roman" w:cs="Times New Roman"/>
          <w:i/>
          <w:noProof/>
        </w:rPr>
        <w:t xml:space="preserve"> reading highlight issues related to the net international investment position but risks are limited. Thus, the Commission does not see it necessary at this stage to carry out an in-depth analysis in the context of the MIP. </w:t>
      </w:r>
    </w:p>
    <w:p w:rsidR="007E447C" w:rsidRDefault="007E447C">
      <w:pPr>
        <w:spacing w:after="160" w:line="259" w:lineRule="auto"/>
        <w:jc w:val="both"/>
        <w:rPr>
          <w:rFonts w:ascii="Times New Roman" w:eastAsia="Calibri" w:hAnsi="Times New Roman" w:cs="Times New Roman"/>
          <w:i/>
          <w:noProof/>
        </w:rPr>
      </w:pPr>
    </w:p>
    <w:p w:rsidR="007E447C" w:rsidRDefault="004D5789">
      <w:pPr>
        <w:spacing w:after="160" w:line="259" w:lineRule="auto"/>
        <w:jc w:val="both"/>
        <w:rPr>
          <w:rFonts w:ascii="Times New Roman" w:eastAsia="Calibri" w:hAnsi="Times New Roman" w:cs="Times New Roman"/>
          <w:b/>
          <w:noProof/>
        </w:rPr>
      </w:pPr>
      <w:r>
        <w:rPr>
          <w:noProof/>
          <w:lang w:eastAsia="en-GB"/>
        </w:rPr>
        <w:drawing>
          <wp:anchor distT="0" distB="0" distL="114300" distR="114300" simplePos="0" relativeHeight="251706368" behindDoc="0" locked="0" layoutInCell="1" allowOverlap="1">
            <wp:simplePos x="0" y="0"/>
            <wp:positionH relativeFrom="column">
              <wp:posOffset>3167380</wp:posOffset>
            </wp:positionH>
            <wp:positionV relativeFrom="paragraph">
              <wp:posOffset>9525</wp:posOffset>
            </wp:positionV>
            <wp:extent cx="2590800" cy="290512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 xml:space="preserve">Portugal: </w:t>
      </w:r>
      <w:r>
        <w:rPr>
          <w:rFonts w:ascii="Times New Roman" w:eastAsia="Calibri" w:hAnsi="Times New Roman" w:cs="Times New Roman"/>
          <w:noProof/>
        </w:rPr>
        <w:t xml:space="preserve">In March 2018, the </w:t>
      </w:r>
      <w:r>
        <w:rPr>
          <w:rFonts w:ascii="Times New Roman" w:eastAsia="Calibri" w:hAnsi="Times New Roman" w:cs="Times New Roman"/>
          <w:noProof/>
        </w:rPr>
        <w:t xml:space="preserve">Commission concluded that Portugal was experiencing </w:t>
      </w:r>
      <w:r>
        <w:rPr>
          <w:rFonts w:ascii="Times New Roman" w:eastAsia="Calibri" w:hAnsi="Times New Roman" w:cs="Times New Roman"/>
          <w:i/>
          <w:noProof/>
        </w:rPr>
        <w:t>macroeconomic imbalances</w:t>
      </w:r>
      <w:r>
        <w:rPr>
          <w:rFonts w:ascii="Times New Roman" w:eastAsia="Calibri" w:hAnsi="Times New Roman" w:cs="Times New Roman"/>
          <w:noProof/>
        </w:rPr>
        <w:t>, in particular involving the large stocks of net external liabilities, private and public debt, and a high share of non-performing loans in a context of low productivity growth. I</w:t>
      </w:r>
      <w:r>
        <w:rPr>
          <w:rFonts w:ascii="Times New Roman" w:eastAsia="Calibri" w:hAnsi="Times New Roman" w:cs="Times New Roman"/>
          <w:noProof/>
        </w:rPr>
        <w:t>n the updated scoreboard, a number of indicators are beyond the indicative threshold, namely the net international investment position (NIIP), government debt, private debt, unemployment, and real house price growth.</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The current account position is stable showing a small surplus while the NIIP remains deeply negative and the pace of adjustment is projected to remain very slow. Price competitiveness has deteriorated slightly in 2017 as the real effective exchange rate a</w:t>
      </w:r>
      <w:r>
        <w:rPr>
          <w:rFonts w:ascii="Times New Roman" w:eastAsia="Calibri" w:hAnsi="Times New Roman" w:cs="Times New Roman"/>
          <w:noProof/>
        </w:rPr>
        <w:t>ppreciated marginally. Nominal ULC growth increased moderately while labour productivity growth was negative in 2017. Yet, these developments are broadly in line with those in trading partners and there are gains in export market shares. Private debt delev</w:t>
      </w:r>
      <w:r>
        <w:rPr>
          <w:rFonts w:ascii="Times New Roman" w:eastAsia="Calibri" w:hAnsi="Times New Roman" w:cs="Times New Roman"/>
          <w:noProof/>
        </w:rPr>
        <w:t>eraging is on-going and credit growth remains weak. Government debt is still very high but projected to decrease steadily. Banks have strengthened significantly their balance sheets and net income, but vulnerabilities still persist, as the stock of non-per</w:t>
      </w:r>
      <w:r>
        <w:rPr>
          <w:rFonts w:ascii="Times New Roman" w:eastAsia="Calibri" w:hAnsi="Times New Roman" w:cs="Times New Roman"/>
          <w:noProof/>
        </w:rPr>
        <w:t xml:space="preserve">forming loans is still high despite its recent decline. House prices retain a strong growth but in the context of previously undervaluation and a broadly stable mortgage stock. Benefiting from the positive economic cycle, the labour market has undergone a </w:t>
      </w:r>
      <w:r>
        <w:rPr>
          <w:rFonts w:ascii="Times New Roman" w:eastAsia="Calibri" w:hAnsi="Times New Roman" w:cs="Times New Roman"/>
          <w:noProof/>
        </w:rPr>
        <w:t xml:space="preserve">broad-based improvement over the past years and unemployment has dropped significantly.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imbalances in stock variables, in particular net external liabilities, public and private debt, banking sec</w:t>
      </w:r>
      <w:r>
        <w:rPr>
          <w:rFonts w:ascii="Times New Roman" w:eastAsia="Calibri" w:hAnsi="Times New Roman" w:cs="Times New Roman"/>
          <w:i/>
          <w:noProof/>
        </w:rPr>
        <w:t>tor vulnerabilities and weak productivity growth. Therefore, the Commission finds it opportune, also taking into account the identification of an imbalance in March 2018, to examine further the persistence of imbalances or their unwinding.</w:t>
      </w: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i/>
          <w:noProof/>
        </w:rPr>
      </w:pPr>
    </w:p>
    <w:p w:rsidR="007E447C" w:rsidRDefault="004D5789">
      <w:pPr>
        <w:spacing w:after="160" w:line="259" w:lineRule="auto"/>
        <w:jc w:val="both"/>
        <w:rPr>
          <w:noProof/>
        </w:rPr>
      </w:pPr>
      <w:r>
        <w:rPr>
          <w:rFonts w:ascii="Times New Roman" w:eastAsia="Calibri" w:hAnsi="Times New Roman" w:cs="Times New Roman"/>
          <w:b/>
          <w:noProof/>
        </w:rPr>
        <w:t>Romania:</w:t>
      </w:r>
      <w:r>
        <w:rPr>
          <w:rFonts w:ascii="Times New Roman" w:eastAsia="Calibri" w:hAnsi="Times New Roman" w:cs="Times New Roman"/>
          <w:noProof/>
        </w:rPr>
        <w:t xml:space="preserve"> 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Romania. In the updated scoreboard one indicator is beyond the indicative threshold, namely the net international investment position (NIIP).</w:t>
      </w:r>
      <w:r>
        <w:rPr>
          <w:rFonts w:ascii="Times New Roman" w:eastAsia="Calibri" w:hAnsi="Times New Roman" w:cs="Times New Roman"/>
          <w:i/>
          <w:noProof/>
        </w:rPr>
        <w:t xml:space="preserve">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20704" behindDoc="0" locked="0" layoutInCell="1" allowOverlap="1">
            <wp:simplePos x="0" y="0"/>
            <wp:positionH relativeFrom="column">
              <wp:posOffset>3244753</wp:posOffset>
            </wp:positionH>
            <wp:positionV relativeFrom="paragraph">
              <wp:posOffset>10795</wp:posOffset>
            </wp:positionV>
            <wp:extent cx="2514600" cy="29190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 xml:space="preserve">The current account deficit </w:t>
      </w:r>
      <w:r>
        <w:rPr>
          <w:rFonts w:ascii="Times New Roman" w:eastAsia="Calibri" w:hAnsi="Times New Roman" w:cs="Times New Roman"/>
          <w:noProof/>
        </w:rPr>
        <w:t>continued to deteriorate in 2017 on account of an acceleration of imports, mainly of consumption goods. Despite the increasing current account deficit, the negative NIIP</w:t>
      </w:r>
      <w:r>
        <w:rPr>
          <w:rFonts w:ascii="Times New Roman" w:eastAsia="Calibri" w:hAnsi="Times New Roman" w:cs="Times New Roman"/>
          <w:noProof/>
          <w:lang w:eastAsia="en-GB"/>
        </w:rPr>
        <w:t>,</w:t>
      </w:r>
      <w:r>
        <w:rPr>
          <w:rFonts w:ascii="Times New Roman" w:eastAsia="Calibri" w:hAnsi="Times New Roman" w:cs="Times New Roman"/>
          <w:noProof/>
        </w:rPr>
        <w:t xml:space="preserve"> which consists mostly of </w:t>
      </w:r>
      <w:r>
        <w:rPr>
          <w:rFonts w:ascii="Times New Roman" w:eastAsia="Calibri" w:hAnsi="Times New Roman" w:cs="Times New Roman"/>
          <w:noProof/>
          <w:lang w:eastAsia="en-GB"/>
        </w:rPr>
        <w:t>FDI</w:t>
      </w:r>
      <w:r>
        <w:rPr>
          <w:rFonts w:ascii="Times New Roman" w:eastAsia="Calibri" w:hAnsi="Times New Roman" w:cs="Times New Roman"/>
          <w:noProof/>
        </w:rPr>
        <w:t>, further improved on the back of strong nominal GDP grow</w:t>
      </w:r>
      <w:r>
        <w:rPr>
          <w:rFonts w:ascii="Times New Roman" w:eastAsia="Calibri" w:hAnsi="Times New Roman" w:cs="Times New Roman"/>
          <w:noProof/>
        </w:rPr>
        <w:t xml:space="preserve">th. Exports continued to perform well in 2017 and Romania gained further export market shares. Unit labour costs, however, increased </w:t>
      </w:r>
      <w:r>
        <w:rPr>
          <w:rFonts w:ascii="Times New Roman" w:eastAsia="Calibri" w:hAnsi="Times New Roman" w:cs="Times New Roman"/>
          <w:noProof/>
          <w:lang w:eastAsia="en-GB"/>
        </w:rPr>
        <w:t xml:space="preserve">very </w:t>
      </w:r>
      <w:r>
        <w:rPr>
          <w:rFonts w:ascii="Times New Roman" w:eastAsia="Calibri" w:hAnsi="Times New Roman" w:cs="Times New Roman"/>
          <w:noProof/>
        </w:rPr>
        <w:t xml:space="preserve">significantly in 2017 due to </w:t>
      </w:r>
      <w:r>
        <w:rPr>
          <w:rFonts w:ascii="Times New Roman" w:eastAsia="Calibri" w:hAnsi="Times New Roman" w:cs="Times New Roman"/>
          <w:noProof/>
          <w:lang w:eastAsia="en-GB"/>
        </w:rPr>
        <w:t>higher</w:t>
      </w:r>
      <w:r>
        <w:rPr>
          <w:rFonts w:ascii="Times New Roman" w:eastAsia="Calibri" w:hAnsi="Times New Roman" w:cs="Times New Roman"/>
          <w:noProof/>
        </w:rPr>
        <w:t xml:space="preserve"> wage growth, particularly in the public sector. While Romania's export performance</w:t>
      </w:r>
      <w:r>
        <w:rPr>
          <w:rFonts w:ascii="Times New Roman" w:eastAsia="Calibri" w:hAnsi="Times New Roman" w:cs="Times New Roman"/>
          <w:noProof/>
        </w:rPr>
        <w:t xml:space="preserve"> has been strong so far, past evidence suggests public wage growth is likely to also spill-over to the private sector, which could trigger cost competitiveness losses looking forward. The growth of real </w:t>
      </w:r>
      <w:r>
        <w:rPr>
          <w:rFonts w:ascii="Times New Roman" w:eastAsia="Calibri" w:hAnsi="Times New Roman" w:cs="Times New Roman"/>
          <w:noProof/>
          <w:lang w:eastAsia="en-GB"/>
        </w:rPr>
        <w:t>house</w:t>
      </w:r>
      <w:r>
        <w:rPr>
          <w:rFonts w:ascii="Times New Roman" w:eastAsia="Calibri" w:hAnsi="Times New Roman" w:cs="Times New Roman"/>
          <w:noProof/>
        </w:rPr>
        <w:t xml:space="preserve"> prices declined </w:t>
      </w:r>
      <w:r>
        <w:rPr>
          <w:rFonts w:ascii="Times New Roman" w:eastAsia="Calibri" w:hAnsi="Times New Roman" w:cs="Times New Roman"/>
          <w:noProof/>
          <w:lang w:eastAsia="en-GB"/>
        </w:rPr>
        <w:t>marginally</w:t>
      </w:r>
      <w:r>
        <w:rPr>
          <w:rFonts w:ascii="Times New Roman" w:eastAsia="Calibri" w:hAnsi="Times New Roman" w:cs="Times New Roman"/>
          <w:noProof/>
        </w:rPr>
        <w:t xml:space="preserve"> in 2017 and remains </w:t>
      </w:r>
      <w:r>
        <w:rPr>
          <w:rFonts w:ascii="Times New Roman" w:eastAsia="Calibri" w:hAnsi="Times New Roman" w:cs="Times New Roman"/>
          <w:noProof/>
        </w:rPr>
        <w:t xml:space="preserve">moderate. The banking sector continues to be well capitalized and liquid. The growth of credit to the private sector picked up slightly but remains subdued. The unemployment rate further declined in 2017 reflecting a tightening of the labour market, while </w:t>
      </w:r>
      <w:r>
        <w:rPr>
          <w:rFonts w:ascii="Times New Roman" w:eastAsia="Calibri" w:hAnsi="Times New Roman" w:cs="Times New Roman"/>
          <w:noProof/>
        </w:rPr>
        <w:t xml:space="preserve">the activity rate improved somewhat. Given the strong nominal GDP growth, both private and public debt declined as a share of GDP and both remain relatively low. However, the fiscal stance is set to remain expansionary in the medium run despite favourable </w:t>
      </w:r>
      <w:r>
        <w:rPr>
          <w:rFonts w:ascii="Times New Roman" w:eastAsia="Calibri" w:hAnsi="Times New Roman" w:cs="Times New Roman"/>
          <w:noProof/>
        </w:rPr>
        <w:t xml:space="preserve">economic conditions and could have a negative impact on public debt and current account dynamics. Both the deteriorating trade deficit and the acceleration of ULC are linked to the government's persistently pro-cyclical fiscal policy, which has stimulated </w:t>
      </w:r>
      <w:r>
        <w:rPr>
          <w:rFonts w:ascii="Times New Roman" w:eastAsia="Calibri" w:hAnsi="Times New Roman" w:cs="Times New Roman"/>
          <w:noProof/>
        </w:rPr>
        <w:t>an already strongly growing economy through repeated tax cuts and public wage increases. Moreover, frequent and unpredictable legislative changes contribute to an uncertain business environment, with negative repercussions on business decisions and investm</w:t>
      </w:r>
      <w:r>
        <w:rPr>
          <w:rFonts w:ascii="Times New Roman" w:eastAsia="Calibri" w:hAnsi="Times New Roman" w:cs="Times New Roman"/>
          <w:noProof/>
        </w:rPr>
        <w:t xml:space="preserve">ents, possibly affecting the attractiveness of the country to foreign investors.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The economic reading suggests that vulnerabilities have increased, particularly with respect to the external position and competitiveness. Overall, the Commission finds it o</w:t>
      </w:r>
      <w:r>
        <w:rPr>
          <w:rFonts w:ascii="Times New Roman" w:eastAsia="Calibri" w:hAnsi="Times New Roman" w:cs="Times New Roman"/>
          <w:i/>
          <w:noProof/>
        </w:rPr>
        <w:t>pportune to examine further the risks involved in an in-depth analysis with a view to assess whether imbalances exist.</w:t>
      </w:r>
    </w:p>
    <w:p w:rsidR="007E447C" w:rsidRDefault="007E447C">
      <w:pPr>
        <w:autoSpaceDE w:val="0"/>
        <w:autoSpaceDN w:val="0"/>
        <w:adjustRightInd w:val="0"/>
        <w:spacing w:after="0"/>
        <w:jc w:val="both"/>
        <w:rPr>
          <w:rFonts w:ascii="Times New Roman" w:eastAsia="Calibri" w:hAnsi="Times New Roman" w:cs="Times New Roman"/>
          <w:i/>
          <w:noProof/>
        </w:rPr>
      </w:pPr>
    </w:p>
    <w:p w:rsidR="007E447C" w:rsidRDefault="004D5789">
      <w:pPr>
        <w:autoSpaceDE w:val="0"/>
        <w:autoSpaceDN w:val="0"/>
        <w:adjustRightInd w:val="0"/>
        <w:spacing w:after="0"/>
        <w:jc w:val="both"/>
        <w:rPr>
          <w:rFonts w:ascii="Times New Roman" w:eastAsia="Times New Roman" w:hAnsi="Times New Roman" w:cs="Times New Roman"/>
          <w:noProof/>
          <w:color w:val="000000"/>
          <w:lang w:eastAsia="en-GB"/>
        </w:rPr>
      </w:pPr>
      <w:r>
        <w:rPr>
          <w:noProof/>
          <w:lang w:eastAsia="en-GB"/>
        </w:rPr>
        <w:drawing>
          <wp:anchor distT="0" distB="0" distL="114300" distR="114300" simplePos="0" relativeHeight="251699200" behindDoc="0" locked="0" layoutInCell="1" allowOverlap="1">
            <wp:simplePos x="0" y="0"/>
            <wp:positionH relativeFrom="column">
              <wp:posOffset>3322320</wp:posOffset>
            </wp:positionH>
            <wp:positionV relativeFrom="paragraph">
              <wp:posOffset>11430</wp:posOffset>
            </wp:positionV>
            <wp:extent cx="2438400" cy="286702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lang w:eastAsia="en-GB"/>
        </w:rPr>
        <w:t xml:space="preserve">Slovenia: </w:t>
      </w:r>
      <w:r>
        <w:rPr>
          <w:rFonts w:ascii="Times New Roman" w:eastAsia="Times New Roman" w:hAnsi="Times New Roman" w:cs="Times New Roman"/>
          <w:noProof/>
          <w:color w:val="000000"/>
          <w:lang w:eastAsia="en-GB"/>
        </w:rPr>
        <w:t>In March 2018, the Commission concluded that Slovenia</w:t>
      </w:r>
      <w:r>
        <w:rPr>
          <w:rFonts w:ascii="Times New Roman" w:eastAsia="Times New Roman" w:hAnsi="Times New Roman" w:cs="Times New Roman"/>
          <w:i/>
          <w:noProof/>
          <w:color w:val="000000"/>
          <w:lang w:eastAsia="en-GB"/>
        </w:rPr>
        <w:t xml:space="preserve"> was</w:t>
      </w:r>
      <w:r>
        <w:rPr>
          <w:rFonts w:ascii="Times New Roman" w:eastAsia="Times New Roman" w:hAnsi="Times New Roman" w:cs="Times New Roman"/>
          <w:noProof/>
          <w:color w:val="000000"/>
          <w:lang w:eastAsia="en-GB"/>
        </w:rPr>
        <w:t xml:space="preserve"> </w:t>
      </w:r>
      <w:r>
        <w:rPr>
          <w:rFonts w:ascii="Times New Roman" w:eastAsia="Times New Roman" w:hAnsi="Times New Roman" w:cs="Times New Roman"/>
          <w:i/>
          <w:noProof/>
          <w:color w:val="000000"/>
          <w:lang w:eastAsia="en-GB"/>
        </w:rPr>
        <w:t>no longer experiencing macroeconomic imbalances</w:t>
      </w:r>
      <w:r>
        <w:rPr>
          <w:rFonts w:ascii="Times New Roman" w:eastAsia="Times New Roman" w:hAnsi="Times New Roman" w:cs="Times New Roman"/>
          <w:noProof/>
          <w:color w:val="000000"/>
          <w:lang w:eastAsia="en-GB"/>
        </w:rPr>
        <w:t>. In the updated sco</w:t>
      </w:r>
      <w:r>
        <w:rPr>
          <w:rFonts w:ascii="Times New Roman" w:eastAsia="Times New Roman" w:hAnsi="Times New Roman" w:cs="Times New Roman"/>
          <w:noProof/>
          <w:color w:val="000000"/>
          <w:lang w:eastAsia="en-GB"/>
        </w:rPr>
        <w:t xml:space="preserve">reboard, government debt and real house price growth are beyond the indicative threshold. </w:t>
      </w:r>
    </w:p>
    <w:p w:rsidR="007E447C" w:rsidRDefault="004D5789">
      <w:pPr>
        <w:autoSpaceDE w:val="0"/>
        <w:autoSpaceDN w:val="0"/>
        <w:adjustRightInd w:val="0"/>
        <w:spacing w:after="0" w:line="259" w:lineRule="auto"/>
        <w:jc w:val="both"/>
        <w:rPr>
          <w:rFonts w:ascii="Times New Roman" w:eastAsia="Calibri" w:hAnsi="Times New Roman" w:cs="Times New Roman"/>
          <w:noProof/>
        </w:rPr>
      </w:pPr>
      <w:r>
        <w:rPr>
          <w:rFonts w:ascii="Times New Roman" w:eastAsia="Calibri" w:hAnsi="Times New Roman" w:cs="Times New Roman"/>
          <w:noProof/>
        </w:rPr>
        <w:t>The large current account surplus increased further in 2017 due to strong export growth. The negative NIIP improved substantially and is no longer beyond the thresho</w:t>
      </w:r>
      <w:r>
        <w:rPr>
          <w:rFonts w:ascii="Times New Roman" w:eastAsia="Calibri" w:hAnsi="Times New Roman" w:cs="Times New Roman"/>
          <w:noProof/>
        </w:rPr>
        <w:t>ld. Export market shares increased while unit labour cost growth was contained and real effective exchange rate depreciated. Private debt decreased further, driven by the corporate sector while credit flows to the private sector have turned positive. Inves</w:t>
      </w:r>
      <w:r>
        <w:rPr>
          <w:rFonts w:ascii="Times New Roman" w:eastAsia="Calibri" w:hAnsi="Times New Roman" w:cs="Times New Roman"/>
          <w:noProof/>
        </w:rPr>
        <w:t xml:space="preserve">tment improved significantly but remains still below the historical averages. House price growth increased somewhat faster than in the previous years while residential investment is stable and mortgage credit growth contained. Government debt remains high </w:t>
      </w:r>
      <w:r>
        <w:rPr>
          <w:rFonts w:ascii="Times New Roman" w:eastAsia="Calibri" w:hAnsi="Times New Roman" w:cs="Times New Roman"/>
          <w:noProof/>
        </w:rPr>
        <w:t>but has decreased since its peak in 2015. Projected ageing costs continue to pose risks to medium and long-term fiscal sustainability. The banking sector has stabilised, its leverage is decreasing and the still relatively high share of non-performing loans</w:t>
      </w:r>
      <w:r>
        <w:rPr>
          <w:rFonts w:ascii="Times New Roman" w:eastAsia="Calibri" w:hAnsi="Times New Roman" w:cs="Times New Roman"/>
          <w:noProof/>
        </w:rPr>
        <w:t xml:space="preserve"> continues its downward trend with further reductions expected. The labour market improved further, with the activity rate increasing and unemployment rate decreasing. Labour productivity growth also picked up somewhat in 2017. </w:t>
      </w:r>
    </w:p>
    <w:p w:rsidR="007E447C" w:rsidRDefault="007E447C">
      <w:pPr>
        <w:autoSpaceDE w:val="0"/>
        <w:autoSpaceDN w:val="0"/>
        <w:adjustRightInd w:val="0"/>
        <w:spacing w:after="0" w:line="259" w:lineRule="auto"/>
        <w:jc w:val="both"/>
        <w:rPr>
          <w:rFonts w:ascii="Times New Roman" w:eastAsia="Calibri" w:hAnsi="Times New Roman" w:cs="Times New Roman"/>
          <w:noProof/>
        </w:rPr>
      </w:pPr>
    </w:p>
    <w:p w:rsidR="007E447C" w:rsidRDefault="004D5789">
      <w:pPr>
        <w:autoSpaceDE w:val="0"/>
        <w:autoSpaceDN w:val="0"/>
        <w:adjustRightInd w:val="0"/>
        <w:spacing w:after="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w:t>
      </w:r>
      <w:r>
        <w:rPr>
          <w:rFonts w:ascii="Times New Roman" w:eastAsia="Calibri" w:hAnsi="Times New Roman" w:cs="Times New Roman"/>
          <w:i/>
          <w:noProof/>
        </w:rPr>
        <w:t>ing highlights issues relating mainly to the long-term fiscal sustainability. Therefore, the Commission does not see it necessary at this stage to carry out further in-depth analysis in the context of the MIP.</w:t>
      </w:r>
    </w:p>
    <w:p w:rsidR="007E447C" w:rsidRDefault="007E447C">
      <w:pPr>
        <w:spacing w:after="160" w:line="259" w:lineRule="auto"/>
        <w:jc w:val="both"/>
        <w:rPr>
          <w:rFonts w:ascii="Times New Roman" w:eastAsia="Calibri" w:hAnsi="Times New Roman" w:cs="Times New Roman"/>
          <w:noProof/>
        </w:rPr>
      </w:pP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t>Slovakia</w:t>
      </w:r>
      <w:r>
        <w:rPr>
          <w:rFonts w:ascii="Times New Roman" w:eastAsia="Calibri" w:hAnsi="Times New Roman" w:cs="Times New Roman"/>
          <w:noProof/>
        </w:rPr>
        <w:t xml:space="preserve">: 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Slovakia. In the updated scoreboard, the net international investment position (NIIP) and total financial sector liabilities are in breach of the indicative threshold.</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19680" behindDoc="0" locked="0" layoutInCell="1" allowOverlap="1">
            <wp:simplePos x="0" y="0"/>
            <wp:positionH relativeFrom="column">
              <wp:posOffset>3233029</wp:posOffset>
            </wp:positionH>
            <wp:positionV relativeFrom="paragraph">
              <wp:posOffset>10062</wp:posOffset>
            </wp:positionV>
            <wp:extent cx="2532380" cy="286639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238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t>The current account balance deficit wide</w:t>
      </w:r>
      <w:r>
        <w:rPr>
          <w:rFonts w:ascii="Times New Roman" w:eastAsia="Calibri" w:hAnsi="Times New Roman" w:cs="Times New Roman"/>
          <w:noProof/>
        </w:rPr>
        <w:t>ned further in 2017 but remains moderate overall. The NIIP is substantially negative, notwithstanding some improvement recently, while risks are limited as much of the foreign liabilities relates to foreign direct investment, especially in the expanding au</w:t>
      </w:r>
      <w:r>
        <w:rPr>
          <w:rFonts w:ascii="Times New Roman" w:eastAsia="Calibri" w:hAnsi="Times New Roman" w:cs="Times New Roman"/>
          <w:noProof/>
        </w:rPr>
        <w:t xml:space="preserve">tomotive industry and in the financial sector. Export market shares and the real effective exchange rate have been broadly stable. Nominal unit labour cost growth increased, driven by strong wage growth in the context of a tightening labour market. Growth </w:t>
      </w:r>
      <w:r>
        <w:rPr>
          <w:rFonts w:ascii="Times New Roman" w:eastAsia="Calibri" w:hAnsi="Times New Roman" w:cs="Times New Roman"/>
          <w:noProof/>
        </w:rPr>
        <w:t>in house prices remains strong but eased in 2017 compared to 2016 to a rate just within the threshold value. Private sector credit decelerated somewhat while the private debt-to-GDP ratio kept increasing overall. The largely foreign-owned banking sector is</w:t>
      </w:r>
      <w:r>
        <w:rPr>
          <w:rFonts w:ascii="Times New Roman" w:eastAsia="Calibri" w:hAnsi="Times New Roman" w:cs="Times New Roman"/>
          <w:noProof/>
        </w:rPr>
        <w:t xml:space="preserve"> well-capitalised. Further declines in both total and long-term unemployment rates have been accompanied by increases in the participation rate.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external aspects, the housing market and credit gr</w:t>
      </w:r>
      <w:r>
        <w:rPr>
          <w:rFonts w:ascii="Times New Roman" w:eastAsia="Calibri" w:hAnsi="Times New Roman" w:cs="Times New Roman"/>
          <w:i/>
          <w:noProof/>
        </w:rPr>
        <w:t xml:space="preserve">owth but risks appear contained so far. Therefore, the Commission will at this stage not carry out further in-depth analysis in the context of the MIP. </w:t>
      </w:r>
    </w:p>
    <w:p w:rsidR="007E447C" w:rsidRDefault="007E447C">
      <w:pPr>
        <w:spacing w:after="160" w:line="259" w:lineRule="auto"/>
        <w:jc w:val="both"/>
        <w:rPr>
          <w:rFonts w:ascii="Times New Roman" w:eastAsia="Calibri" w:hAnsi="Times New Roman" w:cs="Times New Roman"/>
          <w:i/>
          <w:noProof/>
        </w:rPr>
      </w:pPr>
    </w:p>
    <w:p w:rsidR="007E447C" w:rsidRDefault="007E447C">
      <w:pPr>
        <w:spacing w:after="160" w:line="259" w:lineRule="auto"/>
        <w:jc w:val="both"/>
        <w:rPr>
          <w:rFonts w:ascii="Times New Roman" w:eastAsia="Calibri" w:hAnsi="Times New Roman" w:cs="Times New Roman"/>
          <w:b/>
          <w:noProof/>
        </w:rPr>
      </w:pPr>
    </w:p>
    <w:p w:rsidR="007E447C" w:rsidRDefault="007E447C">
      <w:pPr>
        <w:spacing w:after="160" w:line="259" w:lineRule="auto"/>
        <w:jc w:val="both"/>
        <w:rPr>
          <w:rFonts w:ascii="Times New Roman" w:eastAsia="Calibri" w:hAnsi="Times New Roman" w:cs="Times New Roman"/>
          <w:b/>
          <w:noProof/>
        </w:rPr>
      </w:pPr>
    </w:p>
    <w:p w:rsidR="007E447C" w:rsidRDefault="007E447C">
      <w:pPr>
        <w:spacing w:after="160" w:line="259" w:lineRule="auto"/>
        <w:jc w:val="both"/>
        <w:rPr>
          <w:rFonts w:ascii="Times New Roman" w:eastAsia="Calibri" w:hAnsi="Times New Roman" w:cs="Times New Roman"/>
          <w:b/>
          <w:noProof/>
        </w:rPr>
      </w:pPr>
    </w:p>
    <w:p w:rsidR="007E447C" w:rsidRDefault="007E447C">
      <w:pPr>
        <w:spacing w:after="160" w:line="259" w:lineRule="auto"/>
        <w:jc w:val="both"/>
        <w:rPr>
          <w:rFonts w:ascii="Times New Roman" w:eastAsia="Calibri" w:hAnsi="Times New Roman" w:cs="Times New Roman"/>
          <w:b/>
          <w:noProof/>
        </w:rPr>
      </w:pPr>
    </w:p>
    <w:p w:rsidR="007E447C" w:rsidRDefault="007E447C">
      <w:pPr>
        <w:spacing w:after="160" w:line="259" w:lineRule="auto"/>
        <w:jc w:val="both"/>
        <w:rPr>
          <w:rFonts w:ascii="Times New Roman" w:eastAsia="Calibri" w:hAnsi="Times New Roman" w:cs="Times New Roman"/>
          <w:b/>
          <w:noProof/>
        </w:rPr>
      </w:pPr>
    </w:p>
    <w:p w:rsidR="007E447C" w:rsidRDefault="007E447C">
      <w:pPr>
        <w:spacing w:after="160" w:line="259" w:lineRule="auto"/>
        <w:jc w:val="both"/>
        <w:rPr>
          <w:rFonts w:ascii="Times New Roman" w:eastAsia="Calibri" w:hAnsi="Times New Roman" w:cs="Times New Roman"/>
          <w:b/>
          <w:noProof/>
        </w:rPr>
      </w:pPr>
    </w:p>
    <w:p w:rsidR="007E447C" w:rsidRDefault="004D5789">
      <w:pPr>
        <w:spacing w:after="160" w:line="259" w:lineRule="auto"/>
        <w:jc w:val="both"/>
        <w:rPr>
          <w:rFonts w:ascii="Times New Roman" w:eastAsia="Calibri" w:hAnsi="Times New Roman" w:cs="Times New Roman"/>
          <w:b/>
          <w:noProof/>
        </w:rPr>
      </w:pPr>
      <w:r>
        <w:rPr>
          <w:rFonts w:ascii="Times New Roman" w:eastAsia="Calibri" w:hAnsi="Times New Roman" w:cs="Times New Roman"/>
          <w:b/>
          <w:noProof/>
        </w:rPr>
        <w:t xml:space="preserve">Finland: </w:t>
      </w:r>
      <w:r>
        <w:rPr>
          <w:rFonts w:ascii="Times New Roman" w:eastAsia="Calibri" w:hAnsi="Times New Roman" w:cs="Times New Roman"/>
          <w:noProof/>
        </w:rPr>
        <w:t xml:space="preserve">In the previous round of the MIP, </w:t>
      </w:r>
      <w:r>
        <w:rPr>
          <w:rFonts w:ascii="Times New Roman" w:eastAsia="Calibri" w:hAnsi="Times New Roman" w:cs="Times New Roman"/>
          <w:i/>
          <w:noProof/>
        </w:rPr>
        <w:t>no macroeconomic imbalances</w:t>
      </w:r>
      <w:r>
        <w:rPr>
          <w:rFonts w:ascii="Times New Roman" w:eastAsia="Calibri" w:hAnsi="Times New Roman" w:cs="Times New Roman"/>
          <w:noProof/>
        </w:rPr>
        <w:t xml:space="preserve"> were identified in Finland. In the updated scoreboard, a number of indicators are beyond the indicative threshold, namely the level of private sector debt and government debt. </w:t>
      </w: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695104" behindDoc="0" locked="0" layoutInCell="1" allowOverlap="1">
            <wp:simplePos x="0" y="0"/>
            <wp:positionH relativeFrom="column">
              <wp:posOffset>3238500</wp:posOffset>
            </wp:positionH>
            <wp:positionV relativeFrom="paragraph">
              <wp:posOffset>7620</wp:posOffset>
            </wp:positionV>
            <wp:extent cx="2521585" cy="291655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1585" cy="2916555"/>
                    </a:xfrm>
                    <a:prstGeom prst="rect">
                      <a:avLst/>
                    </a:prstGeom>
                    <a:noFill/>
                    <a:ln>
                      <a:noFill/>
                    </a:ln>
                  </pic:spPr>
                </pic:pic>
              </a:graphicData>
            </a:graphic>
          </wp:anchor>
        </w:drawing>
      </w:r>
      <w:r>
        <w:rPr>
          <w:rFonts w:ascii="Times New Roman" w:eastAsia="Calibri" w:hAnsi="Times New Roman" w:cs="Times New Roman"/>
          <w:noProof/>
        </w:rPr>
        <w:t xml:space="preserve">The current account balance remained slightly negative in 2017 after several </w:t>
      </w:r>
      <w:r>
        <w:rPr>
          <w:rFonts w:ascii="Times New Roman" w:eastAsia="Calibri" w:hAnsi="Times New Roman" w:cs="Times New Roman"/>
          <w:noProof/>
        </w:rPr>
        <w:t>years of deficits while the net international investment position is marginally positive. Export market shares recovered for a second year in a row, while cost competitiveness indicators improved as unit labour costs fell and the real effective exchange ra</w:t>
      </w:r>
      <w:r>
        <w:rPr>
          <w:rFonts w:ascii="Times New Roman" w:eastAsia="Calibri" w:hAnsi="Times New Roman" w:cs="Times New Roman"/>
          <w:noProof/>
        </w:rPr>
        <w:t>te depreciated. In 2018 and 2019, export growth is likely to still outpace import growth. Nevertheless, cost competitiveness indicators are expected to stabilise as the positive effect of the Competitiveness Pact fades out partly. Public and private sector</w:t>
      </w:r>
      <w:r>
        <w:rPr>
          <w:rFonts w:ascii="Times New Roman" w:eastAsia="Calibri" w:hAnsi="Times New Roman" w:cs="Times New Roman"/>
          <w:noProof/>
        </w:rPr>
        <w:t xml:space="preserve"> debt-to-GDP ratios came down further in 2017, reflecting the strong output recovery. However, favourable credit conditions, low interest rates and the improved economic outlook have accelerated private credit growth, which may limit deleveraging going for</w:t>
      </w:r>
      <w:r>
        <w:rPr>
          <w:rFonts w:ascii="Times New Roman" w:eastAsia="Calibri" w:hAnsi="Times New Roman" w:cs="Times New Roman"/>
          <w:noProof/>
        </w:rPr>
        <w:t>ward, while private debt is still at an elevated level. Household debt is high and the household saving rate historically low. The financial sector remains well capitalised, limiting risks to financial stability, while relatively stable real house prices p</w:t>
      </w:r>
      <w:r>
        <w:rPr>
          <w:rFonts w:ascii="Times New Roman" w:eastAsia="Calibri" w:hAnsi="Times New Roman" w:cs="Times New Roman"/>
          <w:noProof/>
        </w:rPr>
        <w:t xml:space="preserve">oint to limited risks to the household sector debt. The public debt ratio is reducing, reflecting the improved economic growth environment. Employment continues to expand and unemployment to decrease as a result of the higher economic activity. </w:t>
      </w:r>
    </w:p>
    <w:p w:rsidR="007E447C" w:rsidRDefault="004D5789">
      <w:pPr>
        <w:spacing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w:t>
      </w:r>
      <w:r>
        <w:rPr>
          <w:rFonts w:ascii="Times New Roman" w:eastAsia="Calibri" w:hAnsi="Times New Roman" w:cs="Times New Roman"/>
          <w:i/>
          <w:noProof/>
        </w:rPr>
        <w:t xml:space="preserve">he economic reading highlights challenges related to the private sector debt but risks remain limited. Overall, the Commission does not see it necessary at this stage to carry out further in-depth analysis in the context of the MIP. </w:t>
      </w:r>
    </w:p>
    <w:p w:rsidR="007E447C" w:rsidRDefault="007E447C">
      <w:pPr>
        <w:spacing w:after="160" w:line="259" w:lineRule="auto"/>
        <w:jc w:val="both"/>
        <w:rPr>
          <w:rFonts w:ascii="Times New Roman" w:eastAsia="Calibri" w:hAnsi="Times New Roman" w:cs="Times New Roman"/>
          <w:i/>
          <w:noProof/>
        </w:rPr>
      </w:pPr>
    </w:p>
    <w:p w:rsidR="007E447C" w:rsidRDefault="004D5789">
      <w:pPr>
        <w:spacing w:before="120"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18656" behindDoc="0" locked="0" layoutInCell="1" allowOverlap="1">
            <wp:simplePos x="0" y="0"/>
            <wp:positionH relativeFrom="column">
              <wp:posOffset>3187212</wp:posOffset>
            </wp:positionH>
            <wp:positionV relativeFrom="paragraph">
              <wp:posOffset>8793</wp:posOffset>
            </wp:positionV>
            <wp:extent cx="2576195" cy="28663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619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t>Sweden:</w:t>
      </w:r>
      <w:r>
        <w:rPr>
          <w:rFonts w:ascii="Times New Roman" w:eastAsia="Calibri" w:hAnsi="Times New Roman" w:cs="Times New Roman"/>
          <w:noProof/>
        </w:rPr>
        <w:t xml:space="preserve"> In March 201</w:t>
      </w:r>
      <w:r>
        <w:rPr>
          <w:rFonts w:ascii="Times New Roman" w:eastAsia="Calibri" w:hAnsi="Times New Roman" w:cs="Times New Roman"/>
          <w:noProof/>
        </w:rPr>
        <w:t xml:space="preserve">8, the Commission concluded that Sweden was experiencing </w:t>
      </w:r>
      <w:r>
        <w:rPr>
          <w:rFonts w:ascii="Times New Roman" w:eastAsia="Calibri" w:hAnsi="Times New Roman" w:cs="Times New Roman"/>
          <w:i/>
          <w:noProof/>
        </w:rPr>
        <w:t>imbalances</w:t>
      </w:r>
      <w:r>
        <w:rPr>
          <w:rFonts w:ascii="Times New Roman" w:eastAsia="Calibri" w:hAnsi="Times New Roman" w:cs="Times New Roman"/>
          <w:noProof/>
        </w:rPr>
        <w:t xml:space="preserve">, in particular involving overvalued house price levels coupled with a continued rise in household debt. In the updated scoreboard, private sector debt is beyond the indicative threshold. </w:t>
      </w:r>
    </w:p>
    <w:p w:rsidR="007E447C" w:rsidRDefault="004D5789">
      <w:pPr>
        <w:spacing w:before="120" w:after="160" w:line="259" w:lineRule="auto"/>
        <w:jc w:val="both"/>
        <w:rPr>
          <w:rFonts w:ascii="Times New Roman" w:eastAsia="Calibri" w:hAnsi="Times New Roman" w:cs="Times New Roman"/>
          <w:noProof/>
        </w:rPr>
      </w:pPr>
      <w:r>
        <w:rPr>
          <w:rFonts w:ascii="Times New Roman" w:eastAsia="Calibri" w:hAnsi="Times New Roman" w:cs="Times New Roman"/>
          <w:noProof/>
        </w:rPr>
        <w:t>The current account surplus remains moderate and narrowed in 2017. The NIIP has fallen slightly and is now close to balance. Export market share losses have moderated and the indicator is now somewhat below the threshold. Unit labour cost growth is contain</w:t>
      </w:r>
      <w:r>
        <w:rPr>
          <w:rFonts w:ascii="Times New Roman" w:eastAsia="Calibri" w:hAnsi="Times New Roman" w:cs="Times New Roman"/>
          <w:noProof/>
        </w:rPr>
        <w:t>ed while the real effective exchange rate has depreciated. H</w:t>
      </w:r>
      <w:r>
        <w:rPr>
          <w:rFonts w:ascii="Times New Roman" w:eastAsia="Times New Roman" w:hAnsi="Times New Roman" w:cs="Times New Roman"/>
          <w:noProof/>
          <w:color w:val="000000"/>
          <w:lang w:eastAsia="en-GB"/>
        </w:rPr>
        <w:t>ousehold debt is high and has grown continuously since 2008, including in 2017. This increase has been coupled with house prices rises implying risks for macroeconomic stability. In autumn 2017, h</w:t>
      </w:r>
      <w:r>
        <w:rPr>
          <w:rFonts w:ascii="Times New Roman" w:eastAsia="Times New Roman" w:hAnsi="Times New Roman" w:cs="Times New Roman"/>
          <w:noProof/>
          <w:color w:val="000000"/>
          <w:lang w:eastAsia="en-GB"/>
        </w:rPr>
        <w:t>ouse prices declined somewhat but remain overall very high. House prices and household indebtedness are being pushed up by the favourable tax treatment of home-ownership, low mortgage interest rates and specific features in the mortgage market. Risks in th</w:t>
      </w:r>
      <w:r>
        <w:rPr>
          <w:rFonts w:ascii="Times New Roman" w:eastAsia="Times New Roman" w:hAnsi="Times New Roman" w:cs="Times New Roman"/>
          <w:noProof/>
          <w:color w:val="000000"/>
          <w:lang w:eastAsia="en-GB"/>
        </w:rPr>
        <w:t>e banking system appear contained, as asset quality and profitability remain high and household finances are generally strong. The labour market is tightening and unemployment falling further.</w:t>
      </w:r>
      <w:r>
        <w:rPr>
          <w:noProof/>
        </w:rPr>
        <w:t xml:space="preserve"> </w:t>
      </w:r>
    </w:p>
    <w:p w:rsidR="007E447C" w:rsidRDefault="004D5789">
      <w:pPr>
        <w:spacing w:before="120" w:after="160" w:line="259" w:lineRule="auto"/>
        <w:jc w:val="both"/>
        <w:rPr>
          <w:rFonts w:ascii="Times New Roman" w:eastAsia="Calibri" w:hAnsi="Times New Roman" w:cs="Times New Roman"/>
          <w:i/>
          <w:noProof/>
        </w:rPr>
      </w:pPr>
      <w:r>
        <w:rPr>
          <w:rFonts w:ascii="Times New Roman" w:eastAsia="Calibri" w:hAnsi="Times New Roman" w:cs="Times New Roman"/>
          <w:i/>
          <w:noProof/>
        </w:rPr>
        <w:t>Overall, the economic reading highlights issues relating to hi</w:t>
      </w:r>
      <w:r>
        <w:rPr>
          <w:rFonts w:ascii="Times New Roman" w:eastAsia="Calibri" w:hAnsi="Times New Roman" w:cs="Times New Roman"/>
          <w:i/>
          <w:noProof/>
        </w:rPr>
        <w:t>gh private debt and the housing sector. Therefore, the Commission finds it useful, also taking into account the identification of an imbalance in March 2018, to examine further the persistence of imbalances or their unwinding.</w:t>
      </w:r>
    </w:p>
    <w:p w:rsidR="007E447C" w:rsidRDefault="007E447C">
      <w:pPr>
        <w:spacing w:before="120" w:after="160" w:line="259" w:lineRule="auto"/>
        <w:jc w:val="both"/>
        <w:rPr>
          <w:rFonts w:ascii="Times New Roman" w:eastAsia="Calibri" w:hAnsi="Times New Roman" w:cs="Times New Roman"/>
          <w:i/>
          <w:noProof/>
        </w:rPr>
      </w:pPr>
    </w:p>
    <w:p w:rsidR="007E447C" w:rsidRDefault="004D5789">
      <w:pPr>
        <w:spacing w:after="160" w:line="259" w:lineRule="auto"/>
        <w:jc w:val="both"/>
        <w:rPr>
          <w:rFonts w:ascii="Times New Roman" w:eastAsia="Calibri" w:hAnsi="Times New Roman" w:cs="Times New Roman"/>
          <w:noProof/>
        </w:rPr>
      </w:pPr>
      <w:r>
        <w:rPr>
          <w:noProof/>
          <w:lang w:eastAsia="en-GB"/>
        </w:rPr>
        <w:drawing>
          <wp:anchor distT="0" distB="0" distL="114300" distR="114300" simplePos="0" relativeHeight="251717632" behindDoc="0" locked="0" layoutInCell="1" allowOverlap="1">
            <wp:simplePos x="0" y="0"/>
            <wp:positionH relativeFrom="column">
              <wp:posOffset>3171483</wp:posOffset>
            </wp:positionH>
            <wp:positionV relativeFrom="paragraph">
              <wp:posOffset>11968</wp:posOffset>
            </wp:positionV>
            <wp:extent cx="2593975" cy="286639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397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noProof/>
        </w:rPr>
        <w:t>United Kingdom</w:t>
      </w:r>
      <w:r>
        <w:rPr>
          <w:rFonts w:ascii="Times New Roman" w:eastAsia="Calibri" w:hAnsi="Times New Roman" w:cs="Times New Roman"/>
          <w:noProof/>
        </w:rPr>
        <w:t>: In the prev</w:t>
      </w:r>
      <w:r>
        <w:rPr>
          <w:rFonts w:ascii="Times New Roman" w:eastAsia="Calibri" w:hAnsi="Times New Roman" w:cs="Times New Roman"/>
          <w:noProof/>
        </w:rPr>
        <w:t xml:space="preserve">ious round of the MIP, </w:t>
      </w:r>
      <w:r>
        <w:rPr>
          <w:rFonts w:ascii="Times New Roman" w:eastAsia="Calibri" w:hAnsi="Times New Roman" w:cs="Times New Roman"/>
          <w:i/>
          <w:iCs/>
          <w:noProof/>
        </w:rPr>
        <w:t xml:space="preserve">no macroeconomic imbalances were identified </w:t>
      </w:r>
      <w:r>
        <w:rPr>
          <w:rFonts w:ascii="Times New Roman" w:eastAsia="Calibri" w:hAnsi="Times New Roman" w:cs="Times New Roman"/>
          <w:noProof/>
        </w:rPr>
        <w:t>in the United Kingdom. In the updated scoreboard, a number of indicators are beyond the indicative threshold, namely the current account deficit, private sector debt and government debt.</w:t>
      </w:r>
    </w:p>
    <w:p w:rsidR="007E447C" w:rsidRDefault="004D5789">
      <w:pPr>
        <w:spacing w:after="160" w:line="259" w:lineRule="auto"/>
        <w:jc w:val="both"/>
        <w:rPr>
          <w:rFonts w:ascii="Times New Roman" w:eastAsia="Calibri" w:hAnsi="Times New Roman" w:cs="Times New Roman"/>
          <w:noProof/>
        </w:rPr>
      </w:pPr>
      <w:r>
        <w:rPr>
          <w:rFonts w:ascii="Times New Roman" w:eastAsia="Calibri" w:hAnsi="Times New Roman" w:cs="Times New Roman"/>
          <w:noProof/>
        </w:rPr>
        <w:t>Th</w:t>
      </w:r>
      <w:r>
        <w:rPr>
          <w:rFonts w:ascii="Times New Roman" w:eastAsia="Calibri" w:hAnsi="Times New Roman" w:cs="Times New Roman"/>
          <w:noProof/>
        </w:rPr>
        <w:t>e current account narrowed slightly in 2017, driven primarily by an improvement in the primary income balance, but the significant deficit and associated sizeable external financing needs remain. The depreciation of sterling has supported the net internati</w:t>
      </w:r>
      <w:r>
        <w:rPr>
          <w:rFonts w:ascii="Times New Roman" w:eastAsia="Calibri" w:hAnsi="Times New Roman" w:cs="Times New Roman"/>
          <w:noProof/>
        </w:rPr>
        <w:t>onal investment position, which is mildly negative, and improved price competitiveness in a context of moderate unit labour cost growth. However, to date the net trade response to weaker sterling has been disappointing. After several years of gradual delev</w:t>
      </w:r>
      <w:r>
        <w:rPr>
          <w:rFonts w:ascii="Times New Roman" w:eastAsia="Calibri" w:hAnsi="Times New Roman" w:cs="Times New Roman"/>
          <w:noProof/>
        </w:rPr>
        <w:t>eraging, the private sector debt-to-GDP ratio has bottomed out. In particular, household debt remains high and continues to warrant close monitoring. Real house price growth has slowed and the cost of housing is stabilising, though at a high level. Governm</w:t>
      </w:r>
      <w:r>
        <w:rPr>
          <w:rFonts w:ascii="Times New Roman" w:eastAsia="Calibri" w:hAnsi="Times New Roman" w:cs="Times New Roman"/>
          <w:noProof/>
        </w:rPr>
        <w:t xml:space="preserve">ent debt is high and broadly stable. Strong employment growth continued to be accompanied by low and falling unemployment, although labour productivity remains weak. </w:t>
      </w:r>
    </w:p>
    <w:p w:rsidR="007E447C" w:rsidRDefault="004D5789">
      <w:pPr>
        <w:spacing w:after="160" w:line="259" w:lineRule="auto"/>
        <w:jc w:val="both"/>
        <w:rPr>
          <w:rFonts w:ascii="Times New Roman" w:eastAsia="Calibri" w:hAnsi="Times New Roman" w:cs="Times New Roman"/>
          <w:i/>
          <w:iCs/>
          <w:noProof/>
        </w:rPr>
      </w:pPr>
      <w:r>
        <w:rPr>
          <w:rFonts w:ascii="Times New Roman" w:eastAsia="Calibri" w:hAnsi="Times New Roman" w:cs="Times New Roman"/>
          <w:i/>
          <w:iCs/>
          <w:noProof/>
        </w:rPr>
        <w:t>Overall, the economic reading highlights some issues relating to private debt, the housing market and the external side of the economy. These issues appear to pose limited risks to stability in the short term. Overall, the Commission does not see it necess</w:t>
      </w:r>
      <w:r>
        <w:rPr>
          <w:rFonts w:ascii="Times New Roman" w:eastAsia="Calibri" w:hAnsi="Times New Roman" w:cs="Times New Roman"/>
          <w:i/>
          <w:iCs/>
          <w:noProof/>
        </w:rPr>
        <w:t xml:space="preserve">ary at this stage to carry out further in-depth analysis in the context of the MIP. </w:t>
      </w:r>
    </w:p>
    <w:p w:rsidR="007E447C" w:rsidRDefault="007E447C">
      <w:pPr>
        <w:spacing w:after="160" w:line="259" w:lineRule="auto"/>
        <w:rPr>
          <w:rFonts w:ascii="Times New Roman" w:eastAsia="Calibri" w:hAnsi="Times New Roman" w:cs="Times New Roman"/>
          <w:b/>
          <w:noProof/>
        </w:rPr>
      </w:pPr>
    </w:p>
    <w:p w:rsidR="007E447C" w:rsidRDefault="007E447C">
      <w:pPr>
        <w:spacing w:after="160" w:line="259" w:lineRule="auto"/>
        <w:rPr>
          <w:rFonts w:ascii="Times New Roman" w:eastAsia="Calibri" w:hAnsi="Times New Roman" w:cs="Times New Roman"/>
          <w:b/>
          <w:noProof/>
        </w:rPr>
      </w:pPr>
    </w:p>
    <w:p w:rsidR="007E447C" w:rsidRDefault="007E447C">
      <w:pPr>
        <w:jc w:val="both"/>
        <w:rPr>
          <w:rFonts w:ascii="Times New Roman" w:hAnsi="Times New Roman" w:cs="Times New Roman"/>
          <w:i/>
          <w:noProof/>
          <w:sz w:val="24"/>
          <w:szCs w:val="24"/>
        </w:rPr>
      </w:pPr>
    </w:p>
    <w:p w:rsidR="007E447C" w:rsidRDefault="004D5789">
      <w:pPr>
        <w:rPr>
          <w:rFonts w:ascii="Times New Roman" w:hAnsi="Times New Roman" w:cs="Times New Roman"/>
          <w:b/>
          <w:noProof/>
        </w:rPr>
      </w:pPr>
      <w:r>
        <w:rPr>
          <w:rFonts w:ascii="Times New Roman" w:hAnsi="Times New Roman" w:cs="Times New Roman"/>
          <w:b/>
          <w:noProof/>
        </w:rPr>
        <w:br w:type="page"/>
      </w:r>
    </w:p>
    <w:p w:rsidR="007E447C" w:rsidRDefault="007E447C">
      <w:pPr>
        <w:spacing w:before="120" w:after="120" w:line="240" w:lineRule="auto"/>
        <w:jc w:val="both"/>
        <w:rPr>
          <w:rFonts w:ascii="Times New Roman" w:hAnsi="Times New Roman" w:cs="Times New Roman"/>
          <w:b/>
          <w:noProof/>
        </w:rPr>
        <w:sectPr w:rsidR="007E447C">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7E447C" w:rsidRDefault="004D5789">
      <w:pPr>
        <w:spacing w:before="120" w:after="120" w:line="240" w:lineRule="auto"/>
        <w:jc w:val="both"/>
        <w:rPr>
          <w:rFonts w:ascii="Times New Roman" w:hAnsi="Times New Roman" w:cs="Times New Roman"/>
          <w:b/>
          <w:noProof/>
        </w:rPr>
      </w:pPr>
      <w:r>
        <w:rPr>
          <w:noProof/>
          <w:lang w:eastAsia="en-GB"/>
        </w:rPr>
        <w:drawing>
          <wp:inline distT="0" distB="0" distL="0" distR="0">
            <wp:extent cx="9251950" cy="512493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12493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9251950" cy="521856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218569"/>
                    </a:xfrm>
                    <a:prstGeom prst="rect">
                      <a:avLst/>
                    </a:prstGeom>
                    <a:noFill/>
                    <a:ln>
                      <a:noFill/>
                    </a:ln>
                  </pic:spPr>
                </pic:pic>
              </a:graphicData>
            </a:graphic>
          </wp:inline>
        </w:drawing>
      </w:r>
    </w:p>
    <w:p w:rsidR="007E447C" w:rsidRDefault="004D5789">
      <w:pPr>
        <w:spacing w:before="120" w:after="120" w:line="240" w:lineRule="auto"/>
        <w:jc w:val="both"/>
        <w:rPr>
          <w:rFonts w:ascii="Times New Roman" w:hAnsi="Times New Roman" w:cs="Times New Roman"/>
          <w:b/>
          <w:noProof/>
        </w:rPr>
      </w:pPr>
      <w:r>
        <w:rPr>
          <w:noProof/>
          <w:lang w:eastAsia="en-GB"/>
        </w:rPr>
        <w:drawing>
          <wp:inline distT="0" distB="0" distL="0" distR="0">
            <wp:extent cx="9251950" cy="535773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357732"/>
                    </a:xfrm>
                    <a:prstGeom prst="rect">
                      <a:avLst/>
                    </a:prstGeom>
                    <a:noFill/>
                    <a:ln>
                      <a:noFill/>
                    </a:ln>
                  </pic:spPr>
                </pic:pic>
              </a:graphicData>
            </a:graphic>
          </wp:inline>
        </w:drawing>
      </w:r>
      <w:r>
        <w:rPr>
          <w:rFonts w:ascii="Times New Roman" w:hAnsi="Times New Roman" w:cs="Times New Roman"/>
          <w:b/>
          <w:noProof/>
        </w:rPr>
        <w:t xml:space="preserve"> </w:t>
      </w:r>
    </w:p>
    <w:sectPr w:rsidR="007E447C">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47C" w:rsidRDefault="004D5789">
      <w:pPr>
        <w:spacing w:after="0" w:line="240" w:lineRule="auto"/>
      </w:pPr>
      <w:r>
        <w:separator/>
      </w:r>
    </w:p>
  </w:endnote>
  <w:endnote w:type="continuationSeparator" w:id="0">
    <w:p w:rsidR="007E447C" w:rsidRDefault="004D5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89" w:rsidRPr="004D5789" w:rsidRDefault="004D5789" w:rsidP="004D5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89" w:rsidRPr="004D5789" w:rsidRDefault="004D5789" w:rsidP="004D5789">
    <w:pPr>
      <w:pStyle w:val="FooterCoverPage"/>
      <w:rPr>
        <w:rFonts w:ascii="Arial" w:hAnsi="Arial" w:cs="Arial"/>
        <w:b/>
        <w:sz w:val="48"/>
      </w:rPr>
    </w:pPr>
    <w:r w:rsidRPr="004D5789">
      <w:rPr>
        <w:rFonts w:ascii="Arial" w:hAnsi="Arial" w:cs="Arial"/>
        <w:b/>
        <w:sz w:val="48"/>
      </w:rPr>
      <w:t>EN</w:t>
    </w:r>
    <w:r w:rsidRPr="004D5789">
      <w:rPr>
        <w:rFonts w:ascii="Arial" w:hAnsi="Arial" w:cs="Arial"/>
        <w:b/>
        <w:sz w:val="48"/>
      </w:rPr>
      <w:tab/>
    </w:r>
    <w:r w:rsidRPr="004D5789">
      <w:rPr>
        <w:rFonts w:ascii="Arial" w:hAnsi="Arial" w:cs="Arial"/>
        <w:b/>
        <w:sz w:val="48"/>
      </w:rPr>
      <w:tab/>
    </w:r>
    <w:r w:rsidRPr="004D5789">
      <w:tab/>
    </w:r>
    <w:r w:rsidRPr="004D5789">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89" w:rsidRPr="004D5789" w:rsidRDefault="004D5789" w:rsidP="004D578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4D578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7E447C" w:rsidRDefault="007E44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7E447C" w:rsidRDefault="004D578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E447C" w:rsidRDefault="007E447C">
    <w:pPr>
      <w:pStyle w:val="Footer"/>
      <w:jc w:val="center"/>
      <w:rPr>
        <w:rFonts w:ascii="Arial" w:hAnsi="Arial" w:cs="Arial"/>
        <w:b/>
        <w:sz w:val="4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4D578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7E447C" w:rsidRDefault="007E447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7E447C" w:rsidRDefault="004D5789">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7E447C" w:rsidRDefault="007E447C">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47C" w:rsidRDefault="004D5789">
      <w:pPr>
        <w:spacing w:after="0" w:line="240" w:lineRule="auto"/>
      </w:pPr>
      <w:r>
        <w:separator/>
      </w:r>
    </w:p>
  </w:footnote>
  <w:footnote w:type="continuationSeparator" w:id="0">
    <w:p w:rsidR="007E447C" w:rsidRDefault="004D5789">
      <w:pPr>
        <w:spacing w:after="0" w:line="240" w:lineRule="auto"/>
      </w:pPr>
      <w:r>
        <w:continuationSeparator/>
      </w:r>
    </w:p>
  </w:footnote>
  <w:footnote w:id="1">
    <w:p w:rsidR="007E447C" w:rsidRDefault="004D578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This report is accompanied by a </w:t>
      </w:r>
      <w:r>
        <w:rPr>
          <w:rFonts w:ascii="Times New Roman" w:hAnsi="Times New Roman" w:cs="Times New Roman"/>
          <w:i/>
        </w:rPr>
        <w:t>statistical annex</w:t>
      </w:r>
      <w:r>
        <w:rPr>
          <w:rFonts w:ascii="Times New Roman" w:hAnsi="Times New Roman" w:cs="Times New Roman"/>
        </w:rPr>
        <w:t xml:space="preserve">, which contains a wealth of statistics that have contributed to inform this report. </w:t>
      </w:r>
    </w:p>
  </w:footnote>
  <w:footnote w:id="2">
    <w:p w:rsidR="007E447C" w:rsidRDefault="004D578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See Article 5 of Regulation (EU) No 1176/2011.</w:t>
      </w:r>
    </w:p>
  </w:footnote>
  <w:footnote w:id="3">
    <w:p w:rsidR="007E447C" w:rsidRDefault="004D578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More attention to the euro-area dimension of imbalances was proposed </w:t>
      </w:r>
      <w:r>
        <w:rPr>
          <w:rFonts w:ascii="Times New Roman" w:hAnsi="Times New Roman" w:cs="Times New Roman"/>
        </w:rPr>
        <w:t>in the 22 June 2015 Report ʽCompleting Europeʼs Economic and Monetary Unionʼ by Jean-Claude Juncker, Donald Tusk, Jeroen Dijsselbloem, Mario Draghi and Martin Schulz. The role of interdependencies and systemic implications of imbalances is recognised in Re</w:t>
      </w:r>
      <w:r>
        <w:rPr>
          <w:rFonts w:ascii="Times New Roman" w:hAnsi="Times New Roman" w:cs="Times New Roman"/>
        </w:rPr>
        <w:t>gulation (EU) No 1176/2011, which defines imbalances with reference to "macroeconomic developments which are adversely affecting, or have the potential adversely to affect, the proper functioning of the economy of a Member State or of the economic and mone</w:t>
      </w:r>
      <w:r>
        <w:rPr>
          <w:rFonts w:ascii="Times New Roman" w:hAnsi="Times New Roman" w:cs="Times New Roman"/>
        </w:rPr>
        <w:t>tary union, or of the Union as a whole."</w:t>
      </w:r>
    </w:p>
  </w:footnote>
  <w:footnote w:id="4">
    <w:p w:rsidR="007E447C" w:rsidRDefault="004D5789">
      <w:pPr>
        <w:pStyle w:val="FootnoteText"/>
      </w:pPr>
      <w:r>
        <w:rPr>
          <w:rStyle w:val="FootnoteReference"/>
        </w:rPr>
        <w:footnoteRef/>
      </w:r>
      <w:r>
        <w:t xml:space="preserve"> See, e.g., ECB, Economic Bulletin, 5/2018.</w:t>
      </w:r>
    </w:p>
  </w:footnote>
  <w:footnote w:id="5">
    <w:p w:rsidR="007E447C" w:rsidRDefault="004D5789">
      <w:pPr>
        <w:pStyle w:val="FootnoteText"/>
      </w:pPr>
      <w:r>
        <w:rPr>
          <w:rStyle w:val="FootnoteReference"/>
        </w:rPr>
        <w:footnoteRef/>
      </w:r>
      <w:r>
        <w:t xml:space="preserve"> See also International Monetary Fund, World Economic Outlook, October 2018.</w:t>
      </w:r>
    </w:p>
  </w:footnote>
  <w:footnote w:id="6">
    <w:p w:rsidR="007E447C" w:rsidRDefault="004D5789">
      <w:pPr>
        <w:pStyle w:val="FootnoteText"/>
      </w:pPr>
      <w:r>
        <w:rPr>
          <w:rStyle w:val="FootnoteReference"/>
        </w:rPr>
        <w:footnoteRef/>
      </w:r>
      <w:r>
        <w:t xml:space="preserve"> See Box 3 for an overview of main recent employment and social developments in the EU.</w:t>
      </w:r>
    </w:p>
  </w:footnote>
  <w:footnote w:id="7">
    <w:p w:rsidR="007E447C" w:rsidRDefault="004D5789">
      <w:pPr>
        <w:pStyle w:val="FootnoteText"/>
      </w:pPr>
      <w:r>
        <w:rPr>
          <w:rStyle w:val="FootnoteReference"/>
        </w:rPr>
        <w:footnoteRef/>
      </w:r>
      <w:r>
        <w:t xml:space="preserve"> See also European Commission, Annual Growth Survey 2019.</w:t>
      </w:r>
    </w:p>
  </w:footnote>
  <w:footnote w:id="8">
    <w:p w:rsidR="007E447C" w:rsidRDefault="004D578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Article 6 of Regulation (EU) No 1176/2011.</w:t>
      </w:r>
    </w:p>
  </w:footnote>
  <w:footnote w:id="9">
    <w:p w:rsidR="007E447C" w:rsidRDefault="004D578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See ʽ2018 European Semester: Assessment of progress on structural reforms, prevention and correction of macroeconomic imbalances, and results of in-dep</w:t>
      </w:r>
      <w:r>
        <w:rPr>
          <w:rFonts w:ascii="Times New Roman" w:hAnsi="Times New Roman" w:cs="Times New Roman"/>
        </w:rPr>
        <w:t xml:space="preserve">th reviews under Regulation (EU) No 1176/2011ʼ - COM(2018) 120 final, 7.3.2018. </w:t>
      </w:r>
    </w:p>
  </w:footnote>
  <w:footnote w:id="10">
    <w:p w:rsidR="007E447C" w:rsidRDefault="004D5789">
      <w:pPr>
        <w:pStyle w:val="FootnoteText"/>
        <w:jc w:val="both"/>
      </w:pPr>
      <w:r>
        <w:rPr>
          <w:rStyle w:val="FootnoteReference"/>
        </w:rPr>
        <w:footnoteRef/>
      </w:r>
      <w:r>
        <w:t xml:space="preserve"> Member States undergoing macroeconomic adjustment programmes linked to financial assistance are exempted from surveillance under the MIP (Article 11 of Regulation (EU) No 47</w:t>
      </w:r>
      <w:r>
        <w:t>2/2013 of the European Parliament and of the Council of 21 May 2013 on the strengthening of economic and budgetary surveillance of Member States in the euro area experiencing or threatened with serious difficulties with respect to their financial stability</w:t>
      </w:r>
      <w:r>
        <w:t>).</w:t>
      </w:r>
    </w:p>
  </w:footnote>
  <w:footnote w:id="11">
    <w:p w:rsidR="007E447C" w:rsidRDefault="004D5789">
      <w:pPr>
        <w:pStyle w:val="FootnoteText"/>
        <w:jc w:val="both"/>
        <w:rPr>
          <w:i/>
        </w:rPr>
      </w:pPr>
      <w:r>
        <w:rPr>
          <w:rStyle w:val="FootnoteReference"/>
        </w:rPr>
        <w:footnoteRef/>
      </w:r>
      <w:r>
        <w:t xml:space="preserve"> In November 2016, the European Systemic Risk Board (ESRB) issued country-specific warnings on medium-term vulnerabilities in the residential real estate sector to eight EU Member States: Austria, Belgium, Denmark, Finland, Luxembourg, the Netherlands, Swe</w:t>
      </w:r>
      <w:r>
        <w:t>den, and the United Kingdom.</w:t>
      </w:r>
    </w:p>
  </w:footnote>
  <w:footnote w:id="12">
    <w:p w:rsidR="007E447C" w:rsidRDefault="004D5789">
      <w:pPr>
        <w:pStyle w:val="FootnoteText"/>
        <w:jc w:val="both"/>
      </w:pPr>
      <w:r>
        <w:rPr>
          <w:rStyle w:val="FootnoteReference"/>
        </w:rPr>
        <w:footnoteRef/>
      </w:r>
      <w:r>
        <w:t xml:space="preserve"> For more details on the statistical definitions of the new indicators, see European Commission, "Envisaged revision of selected auxiliary indicators of the MIP scoreboard", Technical note; https://ec.europa.eu/info/business-e</w:t>
      </w:r>
      <w:r>
        <w:t>conomy-euro/economic-and-fiscal-policy-coordination/eu-economic-governance-monitoring-prevention-correction/macroeconomic-imbalance-procedure/scoreboard_en.</w:t>
      </w:r>
    </w:p>
  </w:footnote>
  <w:footnote w:id="13">
    <w:p w:rsidR="007E447C" w:rsidRDefault="004D5789">
      <w:pPr>
        <w:pStyle w:val="FootnoteText"/>
        <w:jc w:val="both"/>
        <w:rPr>
          <w:rFonts w:ascii="Times New Roman" w:hAnsi="Times New Roman" w:cs="Times New Roman"/>
        </w:rPr>
      </w:pPr>
      <w:r>
        <w:rPr>
          <w:rStyle w:val="FootnoteReference"/>
          <w:rFonts w:ascii="Times New Roman" w:eastAsia="SimSun" w:hAnsi="Times New Roman" w:cs="Times New Roman"/>
        </w:rPr>
        <w:footnoteRef/>
      </w:r>
      <w:r>
        <w:rPr>
          <w:rFonts w:ascii="Times New Roman" w:hAnsi="Times New Roman" w:cs="Times New Roman"/>
        </w:rPr>
        <w:t xml:space="preserve"> On the rationale underlying the construction of the AMR scoreboard and its reading see European C</w:t>
      </w:r>
      <w:r>
        <w:rPr>
          <w:rFonts w:ascii="Times New Roman" w:hAnsi="Times New Roman" w:cs="Times New Roman"/>
        </w:rPr>
        <w:t>ommission (2016) ʽ</w:t>
      </w:r>
      <w:r>
        <w:rPr>
          <w:rFonts w:ascii="Times New Roman" w:hAnsi="Times New Roman" w:cs="Times New Roman"/>
          <w:i/>
        </w:rPr>
        <w:t>The Macroeconomic Imbalance Procedure. Rationale, Process, Application: A Compendium</w:t>
      </w:r>
      <w:r>
        <w:rPr>
          <w:rFonts w:ascii="Times New Roman" w:hAnsi="Times New Roman" w:cs="Times New Roman"/>
        </w:rPr>
        <w:t>ʼ</w:t>
      </w:r>
      <w:r>
        <w:rPr>
          <w:rFonts w:ascii="Times New Roman" w:hAnsi="Times New Roman" w:cs="Times New Roman"/>
        </w:rPr>
        <w:t>, European Economy, Institutional Paper 039.</w:t>
      </w:r>
    </w:p>
  </w:footnote>
  <w:footnote w:id="14">
    <w:p w:rsidR="007E447C" w:rsidRDefault="004D5789">
      <w:pPr>
        <w:pStyle w:val="FootnoteText"/>
        <w:jc w:val="both"/>
        <w:rPr>
          <w:rFonts w:ascii="Times New Roman" w:hAnsi="Times New Roman" w:cs="Times New Roman"/>
          <w:sz w:val="18"/>
          <w:szCs w:val="18"/>
        </w:rPr>
      </w:pPr>
      <w:r>
        <w:rPr>
          <w:rStyle w:val="FootnoteReference"/>
          <w:rFonts w:ascii="Times New Roman" w:eastAsia="SimSun" w:hAnsi="Times New Roman" w:cs="Times New Roman"/>
        </w:rPr>
        <w:footnoteRef/>
      </w:r>
      <w:r>
        <w:rPr>
          <w:rFonts w:ascii="Times New Roman" w:hAnsi="Times New Roman" w:cs="Times New Roman"/>
        </w:rPr>
        <w:t xml:space="preserve"> The detailed scoreboard indicators, together with the respective indicative thresholds, are displayed in T</w:t>
      </w:r>
      <w:r>
        <w:rPr>
          <w:rFonts w:ascii="Times New Roman" w:hAnsi="Times New Roman" w:cs="Times New Roman"/>
        </w:rPr>
        <w:t xml:space="preserve">able 1.1 in annex; auxiliary indicators are displayed in Table 2.1. As explained in the note to Graph 1, the reading of the evolution of the scoreboard data is based on the data available at the time of each AMR. The cut-off date for data for the AMR 2019 </w:t>
      </w:r>
      <w:r>
        <w:rPr>
          <w:rFonts w:ascii="Times New Roman" w:hAnsi="Times New Roman" w:cs="Times New Roman"/>
        </w:rPr>
        <w:t>was 24 October 2018.</w:t>
      </w:r>
    </w:p>
  </w:footnote>
  <w:footnote w:id="15">
    <w:p w:rsidR="007E447C" w:rsidRDefault="004D57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Cyclically-adjusted current account balances take into account the impact of the cycle by adjusting for the domestic output gap and that in trading partners, see M. Salto and A. Turrini (2010), "</w:t>
      </w:r>
      <w:r>
        <w:rPr>
          <w:rFonts w:ascii="Times New Roman" w:hAnsi="Times New Roman" w:cs="Times New Roman"/>
          <w:lang w:val="en"/>
        </w:rPr>
        <w:t>Comparing alternative methodologies fo</w:t>
      </w:r>
      <w:r>
        <w:rPr>
          <w:rFonts w:ascii="Times New Roman" w:hAnsi="Times New Roman" w:cs="Times New Roman"/>
          <w:lang w:val="en"/>
        </w:rPr>
        <w:t xml:space="preserve">r real exchange rate assessment", </w:t>
      </w:r>
      <w:r>
        <w:rPr>
          <w:rFonts w:ascii="Times New Roman" w:hAnsi="Times New Roman" w:cs="Times New Roman"/>
        </w:rPr>
        <w:t>European Economy, Discussion Paper 427/2010.</w:t>
      </w:r>
    </w:p>
  </w:footnote>
  <w:footnote w:id="16">
    <w:p w:rsidR="007E447C" w:rsidRDefault="004D57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Current accounts in line with fundamentals (current account norms) are derived from reduced-form regressions capturing the main determinants of the saving-investment balance, </w:t>
      </w:r>
      <w:r>
        <w:rPr>
          <w:rFonts w:ascii="Times New Roman" w:hAnsi="Times New Roman" w:cs="Times New Roman"/>
        </w:rPr>
        <w:t>including fundamental determinants, policy factors and global financial conditions. The methodology is akin to S. Phillips et al. (2013), "The External Balance Assessment (EBA) Methodology", IMF Working Paper, 13/272. See L. Coutinho et al. (2018), "Method</w:t>
      </w:r>
      <w:r>
        <w:rPr>
          <w:rFonts w:ascii="Times New Roman" w:hAnsi="Times New Roman" w:cs="Times New Roman"/>
        </w:rPr>
        <w:t>ologies for the assessment of current account benchmarks", European Economy, Discussion Paper 86, 2018, for the description of the methodology for the computation of the fundamentals-based current account used in this AMR.</w:t>
      </w:r>
    </w:p>
  </w:footnote>
  <w:footnote w:id="17">
    <w:p w:rsidR="007E447C" w:rsidRDefault="004D5789">
      <w:pPr>
        <w:pStyle w:val="FootnoteText"/>
        <w:jc w:val="both"/>
        <w:rPr>
          <w:rFonts w:cstheme="minorHAnsi"/>
        </w:rPr>
      </w:pPr>
      <w:r>
        <w:rPr>
          <w:rStyle w:val="FootnoteReference"/>
          <w:rFonts w:eastAsia="SimSun" w:cstheme="minorHAnsi"/>
        </w:rPr>
        <w:footnoteRef/>
      </w:r>
      <w:r>
        <w:rPr>
          <w:rFonts w:cstheme="minorHAnsi"/>
        </w:rPr>
        <w:t xml:space="preserve"> For the methodologies for curre</w:t>
      </w:r>
      <w:r>
        <w:rPr>
          <w:rFonts w:cstheme="minorHAnsi"/>
        </w:rPr>
        <w:t xml:space="preserve">nt account benchmarks see L. Coutinho et al. (2018); for country-specific NIIP prudential thresholds see footnote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rPr>
          <w:rFonts w:cstheme="minorHAnsi"/>
        </w:rPr>
        <w:t xml:space="preserve">. </w:t>
      </w:r>
    </w:p>
  </w:footnote>
  <w:footnote w:id="18">
    <w:p w:rsidR="007E447C" w:rsidRDefault="004D57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NIIP in line with fundame</w:t>
      </w:r>
      <w:r>
        <w:rPr>
          <w:rFonts w:ascii="Times New Roman" w:hAnsi="Times New Roman" w:cs="Times New Roman"/>
        </w:rPr>
        <w:t xml:space="preserve">ntals are obtained as the cumulation over time of current account norms (see also footnote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 xml:space="preserve">). NIIP prudential thresholds are determined from the </w:t>
      </w:r>
      <w:r>
        <w:rPr>
          <w:rFonts w:ascii="Times New Roman" w:hAnsi="Times New Roman" w:cs="Times New Roman"/>
        </w:rPr>
        <w:t>maximisation of the signal power in predicting a balance of payment crisis, taking into account country-specific information summarised by per-capita income. For the methodology for the computation of NIIP stocks in line with fundamentals see A. Turrini an</w:t>
      </w:r>
      <w:r>
        <w:rPr>
          <w:rFonts w:ascii="Times New Roman" w:hAnsi="Times New Roman" w:cs="Times New Roman"/>
        </w:rPr>
        <w:t xml:space="preserve">d S. Zeugner, "Benchmarks for Net International Investment Positions", European Economy, Discussion Paper, forthcoming. </w:t>
      </w:r>
    </w:p>
  </w:footnote>
  <w:footnote w:id="19">
    <w:p w:rsidR="007E447C" w:rsidRDefault="004D5789">
      <w:pPr>
        <w:pStyle w:val="FootnoteText"/>
        <w:jc w:val="both"/>
      </w:pPr>
      <w:r>
        <w:rPr>
          <w:rStyle w:val="FootnoteReference"/>
        </w:rPr>
        <w:footnoteRef/>
      </w:r>
      <w:r>
        <w:t xml:space="preserve"> As reflected by the NENDI variable, i.e. the NIIP net of non-defaultable instruments. </w:t>
      </w:r>
      <w:r>
        <w:rPr>
          <w:rFonts w:ascii="Times New Roman" w:eastAsia="Times New Roman" w:hAnsi="Times New Roman" w:cs="Times New Roman"/>
        </w:rPr>
        <w:t>On the positive side, improvements in the NIIPs</w:t>
      </w:r>
      <w:r>
        <w:rPr>
          <w:rFonts w:ascii="Times New Roman" w:eastAsia="Times New Roman" w:hAnsi="Times New Roman" w:cs="Times New Roman"/>
        </w:rPr>
        <w:t xml:space="preserve"> in these countries in 2017 were mostly driven by improvements in the NENDI.</w:t>
      </w:r>
    </w:p>
  </w:footnote>
  <w:footnote w:id="20">
    <w:p w:rsidR="007E447C" w:rsidRDefault="004D5789">
      <w:pPr>
        <w:pStyle w:val="FootnoteText"/>
      </w:pPr>
      <w:r>
        <w:rPr>
          <w:rStyle w:val="FootnoteReference"/>
        </w:rPr>
        <w:footnoteRef/>
      </w:r>
      <w:r>
        <w:t xml:space="preserve"> The relevance of the NENDI varies considerably across that group of countries, reflecting also the relevance of their financial centres, like in Luxembourg and Malta, or the ext</w:t>
      </w:r>
      <w:r>
        <w:t>ernal debt liabilities of banks and multinationals' headquarters as in the Netherlands.</w:t>
      </w:r>
    </w:p>
  </w:footnote>
  <w:footnote w:id="21">
    <w:p w:rsidR="007E447C" w:rsidRDefault="004D5789">
      <w:pPr>
        <w:pStyle w:val="FootnoteText"/>
        <w:jc w:val="both"/>
      </w:pPr>
      <w:r>
        <w:rPr>
          <w:rStyle w:val="FootnoteReference"/>
        </w:rPr>
        <w:footnoteRef/>
      </w:r>
      <w:r>
        <w:t xml:space="preserve"> See e.g., European Commission (2018), "Labour markets and wage developments in Europe", Annual review 2018, and Z. Darvas and I. Gonçalves Raposo (2018), "The ever-ri</w:t>
      </w:r>
      <w:r>
        <w:t>sing labour shortages in Europe", Bruegel Blog Post, January 25 2018.</w:t>
      </w:r>
    </w:p>
  </w:footnote>
  <w:footnote w:id="22">
    <w:p w:rsidR="007E447C" w:rsidRDefault="004D5789">
      <w:pPr>
        <w:pStyle w:val="FootnoteText"/>
        <w:jc w:val="both"/>
      </w:pPr>
      <w:r>
        <w:rPr>
          <w:rStyle w:val="FootnoteReference"/>
        </w:rPr>
        <w:footnoteRef/>
      </w:r>
      <w:r>
        <w:t xml:space="preserve"> While margin compression prevents cost competitiveness to affect the terms of trade, thereby containing the impact on trade flows in industries characterised by product differentiation and pricing-to-market, persistent reduced profitability would over tim</w:t>
      </w:r>
      <w:r>
        <w:t>e imply a shrinking tradable sector.</w:t>
      </w:r>
    </w:p>
  </w:footnote>
  <w:footnote w:id="23">
    <w:p w:rsidR="007E447C" w:rsidRDefault="004D5789">
      <w:pPr>
        <w:pStyle w:val="FootnoteText"/>
        <w:jc w:val="both"/>
      </w:pPr>
      <w:r>
        <w:rPr>
          <w:rStyle w:val="FootnoteReference"/>
        </w:rPr>
        <w:footnoteRef/>
      </w:r>
      <w:r>
        <w:t xml:space="preserve"> See European Commission autumn 2018 forecast; and IMF (2018), World Economic Outlook, October 2018. See also Table 2.1 in annex for export performance against advanced economies.</w:t>
      </w:r>
    </w:p>
  </w:footnote>
  <w:footnote w:id="24">
    <w:p w:rsidR="007E447C" w:rsidRDefault="004D5789">
      <w:pPr>
        <w:pStyle w:val="FootnoteText"/>
        <w:jc w:val="both"/>
      </w:pPr>
      <w:r>
        <w:rPr>
          <w:rStyle w:val="FootnoteReference"/>
        </w:rPr>
        <w:footnoteRef/>
      </w:r>
      <w:r>
        <w:t xml:space="preserve"> The euro-area current account figure</w:t>
      </w:r>
      <w:r>
        <w:t>s based on balance of payments data were recently slightly revised downward, and currently show a surplus that is lower by about 0.3 and 0.1 percentage points of GDP for 2015 and 2016 respectively compared with the figures available one year ago. The curre</w:t>
      </w:r>
      <w:r>
        <w:t xml:space="preserve">nt account balance of the euro area aggregate vis-à-vis the rest of the world was at 3.2% of GDP in both 2016 and 2017, according to figures from both balance of payments and national accounts. Yet the current accounts of euro area Member States sum up to </w:t>
      </w:r>
      <w:r>
        <w:t xml:space="preserve">3.5% and 4% of euro area GDP for 2016 and 2017 respectively. The discrepancies between the euro area aggregate and the sum of the current account balances of the Member States are due to adjustments for asymmetries in the reported Member State data. </w:t>
      </w:r>
    </w:p>
  </w:footnote>
  <w:footnote w:id="25">
    <w:p w:rsidR="007E447C" w:rsidRDefault="004D5789">
      <w:pPr>
        <w:pStyle w:val="FootnoteText"/>
        <w:jc w:val="both"/>
      </w:pPr>
      <w:r>
        <w:rPr>
          <w:rStyle w:val="FootnoteReference"/>
        </w:rPr>
        <w:footnoteRef/>
      </w:r>
      <w:r>
        <w:t xml:space="preserve"> For</w:t>
      </w:r>
      <w:r>
        <w:t xml:space="preserve"> the methodology for the computation of current account balances in line with fundamentals (current account norm) see footnote </w:t>
      </w:r>
      <w:r>
        <w:fldChar w:fldCharType="begin"/>
      </w:r>
      <w:r>
        <w:instrText xml:space="preserve"> NOTEREF _Ref526526513 \h  \* MERGEFORMAT </w:instrText>
      </w:r>
      <w:r>
        <w:fldChar w:fldCharType="separate"/>
      </w:r>
      <w:r>
        <w:t>16</w:t>
      </w:r>
      <w:r>
        <w:fldChar w:fldCharType="end"/>
      </w:r>
      <w:r>
        <w:t xml:space="preserve"> and references th</w:t>
      </w:r>
      <w:r>
        <w:t>erein. The IMF (External Sector Report 2018) also suggests the euro area current account norm to be at around 1.5% of GDP.</w:t>
      </w:r>
    </w:p>
  </w:footnote>
  <w:footnote w:id="26">
    <w:p w:rsidR="007E447C" w:rsidRDefault="004D5789">
      <w:pPr>
        <w:pStyle w:val="FootnoteText"/>
        <w:jc w:val="both"/>
      </w:pPr>
      <w:r>
        <w:rPr>
          <w:rStyle w:val="FootnoteReference"/>
        </w:rPr>
        <w:footnoteRef/>
      </w:r>
      <w:r>
        <w:t xml:space="preserve"> Forecast based on national accounts figures. </w:t>
      </w:r>
    </w:p>
  </w:footnote>
  <w:footnote w:id="27">
    <w:p w:rsidR="007E447C" w:rsidRDefault="004D5789">
      <w:pPr>
        <w:pStyle w:val="FootnoteText"/>
        <w:jc w:val="both"/>
      </w:pPr>
      <w:r>
        <w:rPr>
          <w:rStyle w:val="FootnoteReference"/>
        </w:rPr>
        <w:footnoteRef/>
      </w:r>
      <w:r>
        <w:t xml:space="preserve"> </w:t>
      </w:r>
      <w:r>
        <w:rPr>
          <w:rFonts w:ascii="Times New Roman" w:hAnsi="Times New Roman" w:cs="Times New Roman"/>
        </w:rPr>
        <w:t xml:space="preserve">See also ECB, Economic Bulletin 05/2018, Box 2. </w:t>
      </w:r>
    </w:p>
  </w:footnote>
  <w:footnote w:id="28">
    <w:p w:rsidR="007E447C" w:rsidRDefault="004D57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assessing energy balance pros</w:t>
      </w:r>
      <w:r>
        <w:rPr>
          <w:rFonts w:ascii="Times New Roman" w:hAnsi="Times New Roman" w:cs="Times New Roman"/>
        </w:rPr>
        <w:t>pects it should also be taken into account the progressive structural improvement in the euro-area energy balance for a given level of oil prices associated with the reduced weight of energy-intensive activities and the increased energy efficiency of produ</w:t>
      </w:r>
      <w:r>
        <w:rPr>
          <w:rFonts w:ascii="Times New Roman" w:hAnsi="Times New Roman" w:cs="Times New Roman"/>
        </w:rPr>
        <w:t>ction processes. See, e.g., IAE (2018), "Energy Efficiency 2017", International Energy Agency.</w:t>
      </w:r>
    </w:p>
  </w:footnote>
  <w:footnote w:id="29">
    <w:p w:rsidR="007E447C" w:rsidRDefault="004D5789">
      <w:pPr>
        <w:pStyle w:val="FootnoteText"/>
        <w:jc w:val="both"/>
      </w:pPr>
      <w:r>
        <w:rPr>
          <w:rStyle w:val="FootnoteReference"/>
        </w:rPr>
        <w:footnoteRef/>
      </w:r>
      <w:r>
        <w:t xml:space="preserve"> See European Commission, Annual Growth Survey 2019, and B. Pierluigi and D. Sondermann (2018)</w:t>
      </w:r>
      <w:r>
        <w:rPr>
          <w:rFonts w:ascii="Times New Roman" w:hAnsi="Times New Roman" w:cs="Times New Roman"/>
        </w:rPr>
        <w:t xml:space="preserve">, "Macroeconomic imbalances in the euro area: where do we stand?" </w:t>
      </w:r>
      <w:r>
        <w:t>ECB Occasional Paper 211/2018.</w:t>
      </w:r>
    </w:p>
  </w:footnote>
  <w:footnote w:id="30">
    <w:p w:rsidR="007E447C" w:rsidRDefault="004D5789">
      <w:pPr>
        <w:pStyle w:val="FootnoteText"/>
        <w:jc w:val="both"/>
      </w:pPr>
      <w:r>
        <w:rPr>
          <w:rStyle w:val="FootnoteReference"/>
        </w:rPr>
        <w:footnoteRef/>
      </w:r>
      <w:r>
        <w:t xml:space="preserve"> Those factors are taken into account in country-specific benchmarks developed by the European Commission in cooperation with the EPC LIME Working Group (European Commission, "Benchmarks for the assessment of private debt", </w:t>
      </w:r>
      <w:r>
        <w:t>Note for the Economic Policy Committee, ARES (2017) 4970814). A first benchmark permits to assess private debt against values that can be explained on the basis of economic fundamentals. A second benchmark consists of prudential thresholds based on the max</w:t>
      </w:r>
      <w:r>
        <w:t>imisation of the signal power in predicting banking crises and incorporating country-specific information on bank capitalisation, government debt, level of economic development. In most EU Member States, private debt-to-GDP ratios in excess of the AMR scor</w:t>
      </w:r>
      <w:r>
        <w:t>eboard threshold are also in excess of both country-specific benchmarks.</w:t>
      </w:r>
    </w:p>
  </w:footnote>
  <w:footnote w:id="31">
    <w:p w:rsidR="007E447C" w:rsidRDefault="004D5789">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cs="Times New Roman"/>
        </w:rPr>
        <w:t xml:space="preserve"> </w:t>
      </w:r>
      <w:r>
        <w:rPr>
          <w:rFonts w:cstheme="minorHAnsi"/>
        </w:rPr>
        <w:t>Czechia  and Slovakia are the exceptions. In the case of the former, the rapid growth in financial sector liabilities in 2017 is largely attributable to financial transactions prior</w:t>
      </w:r>
      <w:r>
        <w:rPr>
          <w:rFonts w:cstheme="minorHAnsi"/>
        </w:rPr>
        <w:t xml:space="preserve"> to the end of the exchange rate commitment, and hence do not reflect domestic lending activity. In Slovakia, the increase was mainly accounted for by a rise in central bank liabilities to non-euro residents. This could have been linked to the reserve mana</w:t>
      </w:r>
      <w:r>
        <w:rPr>
          <w:rFonts w:cstheme="minorHAnsi"/>
        </w:rPr>
        <w:t>gement services provided by the National Bank of Slovakia, which have no immediate impact on the domestic economy.</w:t>
      </w:r>
    </w:p>
  </w:footnote>
  <w:footnote w:id="32">
    <w:p w:rsidR="007E447C" w:rsidRDefault="004D5789">
      <w:pPr>
        <w:pStyle w:val="FootnoteText"/>
        <w:jc w:val="both"/>
      </w:pPr>
      <w:r>
        <w:rPr>
          <w:rStyle w:val="FootnoteReference"/>
        </w:rPr>
        <w:footnoteRef/>
      </w:r>
      <w:r>
        <w:t xml:space="preserve"> NPLs in the set of scoreboard auxiliary indicators is defined as total gross NPLs and advances as percentage of total gross loans and advan</w:t>
      </w:r>
      <w:r>
        <w:t>ces (gross carrying amount), for the reporting sector "domestic banking groups and stand-alone banks, foreign controlled subsidiaries and foreign controlled branches, all institutions”. Values are provided in Table 2.1.</w:t>
      </w:r>
    </w:p>
  </w:footnote>
  <w:footnote w:id="33">
    <w:p w:rsidR="007E447C" w:rsidRDefault="004D5789">
      <w:pPr>
        <w:pStyle w:val="FootnoteText"/>
        <w:jc w:val="both"/>
      </w:pPr>
      <w:r>
        <w:rPr>
          <w:rStyle w:val="FootnoteReference"/>
        </w:rPr>
        <w:footnoteRef/>
      </w:r>
      <w:r>
        <w:t xml:space="preserve"> Harmonised NPL ratios are availabl</w:t>
      </w:r>
      <w:r>
        <w:t>e only since 2014, Graph 17 displays the ratio of gross non-performing debt instruments on total gross debt instruments, which is available in longer time series, and that refers, besides loans, also to other debt instruments held by the banking sector. Th</w:t>
      </w:r>
      <w:r>
        <w:t>e latter is typically slightly lower than NPL ratios. The maximum difference between the two ratios currently amounts to 4 p.p. (for Greece), while for most Member States it is below 1 p.p.</w:t>
      </w:r>
    </w:p>
  </w:footnote>
  <w:footnote w:id="34">
    <w:p w:rsidR="007E447C" w:rsidRDefault="004D578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analysis of price valuations is based on an average of three</w:t>
      </w:r>
      <w:r>
        <w:rPr>
          <w:rFonts w:ascii="Times New Roman" w:hAnsi="Times New Roman" w:cs="Times New Roman"/>
        </w:rPr>
        <w:t xml:space="preserve"> metrics: (i) affordability gap (price-to-income deviation with respect to its long-term average); (ii) dividend gap (price-to-rent deviation from its long-term average); and (iii) estimates of deviations of house prices from equilibrium values justified b</w:t>
      </w:r>
      <w:r>
        <w:rPr>
          <w:rFonts w:ascii="Times New Roman" w:hAnsi="Times New Roman" w:cs="Times New Roman"/>
        </w:rPr>
        <w:t>y housing demand and supply fundamentals. See N. Philiponnet and A. Turrini (2017), "Assessing House Price Developments in the EU", European Commission Discussion Paper 048, May 2017. An alternative indicator based on ratios of house price levels to househ</w:t>
      </w:r>
      <w:r>
        <w:rPr>
          <w:rFonts w:ascii="Times New Roman" w:hAnsi="Times New Roman" w:cs="Times New Roman"/>
        </w:rPr>
        <w:t>old disposable income per capita suggests that overvaluations could be present in Croatia, Cyprus, Estonia, while indications of overvaluation are less evident for Denmark, Czechia, Latvia (see European Commission, European Economic Forecast – Winter 2016,</w:t>
      </w:r>
      <w:r>
        <w:rPr>
          <w:rFonts w:ascii="Times New Roman" w:hAnsi="Times New Roman" w:cs="Times New Roman"/>
        </w:rPr>
        <w:t xml:space="preserve"> European Economy, Institutional Paper no. 20, 2016 (box 1.4)).</w:t>
      </w:r>
    </w:p>
  </w:footnote>
  <w:footnote w:id="35">
    <w:p w:rsidR="007E447C" w:rsidRDefault="004D5789">
      <w:pPr>
        <w:pStyle w:val="FootnoteText"/>
        <w:jc w:val="both"/>
      </w:pPr>
      <w:r>
        <w:rPr>
          <w:rStyle w:val="FootnoteReference"/>
        </w:rPr>
        <w:footnoteRef/>
      </w:r>
      <w:r>
        <w:t xml:space="preserve"> The countries reported are those with real house price growth rates in the first half of 2018 that are above or below the annual growth rate in 2017 by at least 2 percentage points.</w:t>
      </w:r>
    </w:p>
  </w:footnote>
  <w:footnote w:id="36">
    <w:p w:rsidR="007E447C" w:rsidRDefault="004D5789">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The indicator </w:t>
      </w:r>
      <w:r>
        <w:rPr>
          <w:rFonts w:ascii="Times New Roman" w:hAnsi="Times New Roman" w:cs="Times New Roman"/>
          <w:i/>
          <w:sz w:val="18"/>
        </w:rPr>
        <w:t>At risk of poverty or social exclusion (AROPE)</w:t>
      </w:r>
      <w:r>
        <w:rPr>
          <w:rFonts w:ascii="Times New Roman" w:hAnsi="Times New Roman" w:cs="Times New Roman"/>
          <w:sz w:val="18"/>
        </w:rPr>
        <w:t xml:space="preserve"> corresponds to the share of persons who are vulnerable according to at least one of three social indicators: (1) </w:t>
      </w:r>
      <w:r>
        <w:rPr>
          <w:rFonts w:ascii="Times New Roman" w:hAnsi="Times New Roman" w:cs="Times New Roman"/>
          <w:i/>
          <w:sz w:val="18"/>
        </w:rPr>
        <w:t>At risk-of-poverty (AROP)</w:t>
      </w:r>
      <w:r>
        <w:rPr>
          <w:rFonts w:ascii="Times New Roman" w:hAnsi="Times New Roman" w:cs="Times New Roman"/>
          <w:sz w:val="18"/>
        </w:rPr>
        <w:t>, which measures monetary poverty relative to the nation</w:t>
      </w:r>
      <w:r>
        <w:rPr>
          <w:rFonts w:ascii="Times New Roman" w:hAnsi="Times New Roman" w:cs="Times New Roman"/>
          <w:sz w:val="18"/>
        </w:rPr>
        <w:t xml:space="preserve">al income distribution and is calculated as the share of persons with disposable income (adjusted for household composition) below 60% of the national median; (2) </w:t>
      </w:r>
      <w:r>
        <w:rPr>
          <w:rFonts w:ascii="Times New Roman" w:hAnsi="Times New Roman" w:cs="Times New Roman"/>
          <w:i/>
          <w:sz w:val="18"/>
        </w:rPr>
        <w:t>Severe material deprivation (SMD)</w:t>
      </w:r>
      <w:r>
        <w:rPr>
          <w:rFonts w:ascii="Times New Roman" w:hAnsi="Times New Roman" w:cs="Times New Roman"/>
          <w:sz w:val="18"/>
        </w:rPr>
        <w:t xml:space="preserve">, which </w:t>
      </w:r>
      <w:r>
        <w:rPr>
          <w:rFonts w:ascii="Times New Roman" w:hAnsi="Times New Roman" w:cs="Times New Roman"/>
          <w:sz w:val="18"/>
          <w:szCs w:val="18"/>
        </w:rPr>
        <w:t>c</w:t>
      </w:r>
      <w:r>
        <w:rPr>
          <w:rFonts w:ascii="Times New Roman" w:hAnsi="Times New Roman" w:cs="Times New Roman"/>
          <w:sz w:val="18"/>
        </w:rPr>
        <w:t xml:space="preserve">overs indicators related to a lack of resources, and represents the share of people experiencing at least 4 out of 9 deprivations items, </w:t>
      </w:r>
      <w:r>
        <w:rPr>
          <w:rFonts w:ascii="Times New Roman" w:hAnsi="Times New Roman" w:cs="Times New Roman"/>
          <w:sz w:val="18"/>
          <w:szCs w:val="18"/>
        </w:rPr>
        <w:t>based on the inability to afford some specific types expenses</w:t>
      </w:r>
      <w:r>
        <w:rPr>
          <w:rFonts w:ascii="Times New Roman" w:hAnsi="Times New Roman" w:cs="Times New Roman"/>
          <w:sz w:val="18"/>
        </w:rPr>
        <w:t xml:space="preserve">; (3) </w:t>
      </w:r>
      <w:r>
        <w:rPr>
          <w:rFonts w:ascii="Times New Roman" w:hAnsi="Times New Roman" w:cs="Times New Roman"/>
          <w:i/>
          <w:sz w:val="18"/>
        </w:rPr>
        <w:t>People living in households with very low work inten</w:t>
      </w:r>
      <w:r>
        <w:rPr>
          <w:rFonts w:ascii="Times New Roman" w:hAnsi="Times New Roman" w:cs="Times New Roman"/>
          <w:i/>
          <w:sz w:val="18"/>
        </w:rPr>
        <w:t>sity</w:t>
      </w:r>
      <w:r>
        <w:rPr>
          <w:rFonts w:ascii="Times New Roman" w:hAnsi="Times New Roman" w:cs="Times New Roman"/>
          <w:sz w:val="18"/>
        </w:rPr>
        <w:t xml:space="preserve"> are those aged 0-59 living in households in which adults (aged 18-59) worked less than 20% of their total work potential during the past year. The income reference period for the data behind these measures is a fixed 12-month period, such as the previ</w:t>
      </w:r>
      <w:r>
        <w:rPr>
          <w:rFonts w:ascii="Times New Roman" w:hAnsi="Times New Roman" w:cs="Times New Roman"/>
          <w:sz w:val="18"/>
        </w:rPr>
        <w:t>ous calendar or tax year to which the data refer for all countries, except the United Kingdom for which the income reference period is the current year and Ireland for which the survey is continuous and income is collected for the last twelve months. As of</w:t>
      </w:r>
      <w:r>
        <w:rPr>
          <w:rFonts w:ascii="Times New Roman" w:hAnsi="Times New Roman" w:cs="Times New Roman"/>
          <w:sz w:val="18"/>
        </w:rPr>
        <w:t xml:space="preserve"> the time of writing, 2017 data are available for all countries except Ireland and the United Kingdom. </w:t>
      </w:r>
    </w:p>
  </w:footnote>
  <w:footnote w:id="37">
    <w:p w:rsidR="007E447C" w:rsidRDefault="004D5789">
      <w:pPr>
        <w:pStyle w:val="FootnoteText"/>
        <w:rPr>
          <w:lang w:val="en-US"/>
        </w:rPr>
      </w:pPr>
      <w:r>
        <w:rPr>
          <w:rStyle w:val="FootnoteReference"/>
        </w:rPr>
        <w:footnoteRef/>
      </w:r>
      <w:r>
        <w:t xml:space="preserve"> Contract manufacturing is a process in which resident multinational companies issue contracts to foreign firms to produce goods on their behalf. As re</w:t>
      </w:r>
      <w:r>
        <w:t>sident companies own these goods, their sales are recorded as exports of the resident country even though they do not enter the domestic economy.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89" w:rsidRPr="004D5789" w:rsidRDefault="004D5789" w:rsidP="004D5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89" w:rsidRPr="004D5789" w:rsidRDefault="004D5789" w:rsidP="004D578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789" w:rsidRPr="004D5789" w:rsidRDefault="004D5789" w:rsidP="004D578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pPr>
      <w:pStyle w:val="Header"/>
      <w:jc w:val="center"/>
    </w:pPr>
  </w:p>
  <w:p w:rsidR="007E447C" w:rsidRDefault="007E447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pPr>
      <w:pStyle w:val="Header"/>
      <w:jc w:val="center"/>
    </w:pPr>
  </w:p>
  <w:p w:rsidR="007E447C" w:rsidRDefault="007E447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47C" w:rsidRDefault="007E44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2165E5BE-87C3-43DF-A5F1-2E3FFF6180DF"/>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ussels,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O THE EUROPEAN PARLIAMENT, THE COUNCIL, THE EUROPEAN CENTRAL BANK AND THE EUROPEAN ECONOMIC AND SOCIAL COMMITTEE_x000d__x000d__x000d__x000d__x000d__x000d__x000d__x000b__x000d__x000d__x000d__x000d__x000d__x000d__x000d__x000b_Alert Mechanism Report 2019_x000d__x000d__x000d__x000d__x000d__x000d__x000d__x000b__x000d__x000d__x000d__x000d__x000d__x000d__x000d__x000b_(prepared in accordance with Articles 3 and 4 of Regulation (EU) No 1176/2011 on the prevention and correction of macroeconomic imbalances)"/>
    <w:docVar w:name="LW_TYPE.DOC.CP" w:val="REPORT FROM THE COMMISSION"/>
  </w:docVars>
  <w:rsids>
    <w:rsidRoot w:val="007E447C"/>
    <w:rsid w:val="004D5789"/>
    <w:rsid w:val="007E447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CBAB31C2-0CE7-457F-B7E0-9DDA6105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115A7-D57B-4802-A588-D6E74B4B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55</Pages>
  <Words>19514</Words>
  <Characters>110256</Characters>
  <Application>Microsoft Office Word</Application>
  <DocSecurity>0</DocSecurity>
  <Lines>1621</Lines>
  <Paragraphs>287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17</cp:revision>
  <cp:lastPrinted>2018-11-16T11:26:00Z</cp:lastPrinted>
  <dcterms:created xsi:type="dcterms:W3CDTF">2018-12-10T09:56:00Z</dcterms:created>
  <dcterms:modified xsi:type="dcterms:W3CDTF">2019-02-04T11:32:00Z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