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DBFB03-C496-4411-A63C-A8CA1C82EF23" style="width:449.85pt;height:307pt">
            <v:imagedata r:id="rId12" o:title=""/>
          </v:shape>
        </w:pict>
      </w:r>
    </w:p>
    <w:bookmarkEnd w:id="0"/>
    <w:p>
      <w:pPr>
        <w:spacing w:line="240"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2"/>
        </w:numPr>
        <w:rPr>
          <w:noProof/>
        </w:rPr>
      </w:pPr>
      <w:bookmarkStart w:id="1" w:name="_GoBack"/>
      <w:bookmarkEnd w:id="1"/>
      <w:r>
        <w:rPr>
          <w:noProof/>
        </w:rPr>
        <w:lastRenderedPageBreak/>
        <w:t>Контекст</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 </w:t>
      </w:r>
      <w:hyperlink r:id="rId19">
        <w:r>
          <w:rPr>
            <w:rStyle w:val="Hyperlink"/>
            <w:rFonts w:ascii="Times New Roman" w:hAnsi="Times New Roman"/>
            <w:noProof/>
            <w:sz w:val="24"/>
          </w:rPr>
          <w:t>Регламент (ЕС) № 1286/2013</w:t>
        </w:r>
      </w:hyperlink>
      <w:r>
        <w:rPr>
          <w:rStyle w:val="FootnoteReference"/>
          <w:rFonts w:ascii="Times New Roman" w:hAnsi="Times New Roman"/>
          <w:noProof/>
          <w:sz w:val="24"/>
        </w:rPr>
        <w:footnoteReference w:id="1"/>
      </w:r>
      <w:r>
        <w:rPr>
          <w:rFonts w:ascii="Times New Roman" w:hAnsi="Times New Roman"/>
          <w:noProof/>
          <w:sz w:val="24"/>
        </w:rPr>
        <w:t xml:space="preserve"> беше създадена програма „Фискалис 2020“ като многогодишна програма за действие за подобряване на функционирането на системите за данъчно облагане в Европейския съюз. В съответствие с член 17, параграфи 1 и 2 беше възложено външно проучване в подкрепа на междинната оценка на програмата. Резултатите от него са представени в приложения работен документ на службите на Комисията и представляват основата за настоящия доклад. </w:t>
      </w:r>
    </w:p>
    <w:p>
      <w:pPr>
        <w:spacing w:line="240" w:lineRule="auto"/>
        <w:jc w:val="both"/>
        <w:rPr>
          <w:rFonts w:ascii="Times New Roman" w:hAnsi="Times New Roman" w:cs="Times New Roman"/>
          <w:noProof/>
          <w:sz w:val="24"/>
          <w:szCs w:val="24"/>
        </w:rPr>
      </w:pPr>
      <w:r>
        <w:rPr>
          <w:rFonts w:ascii="Times New Roman" w:hAnsi="Times New Roman"/>
          <w:noProof/>
          <w:sz w:val="24"/>
        </w:rPr>
        <w:t>Целта на междинната оценка е да се оцени програма „Фискалис 2020“ от стартирането ѝ на 1 януари 2014 г. до средата на нейното изпълнение (31 декември 2017 г.). В оценката бяха взети предвид пълният набор от финансирани дейности и заинтересовани страни.</w:t>
      </w:r>
    </w:p>
    <w:p>
      <w:pPr>
        <w:spacing w:line="240" w:lineRule="auto"/>
        <w:jc w:val="both"/>
        <w:rPr>
          <w:noProof/>
        </w:rPr>
      </w:pPr>
      <w:r>
        <w:rPr>
          <w:rFonts w:ascii="Times New Roman" w:hAnsi="Times New Roman"/>
          <w:noProof/>
          <w:sz w:val="24"/>
        </w:rPr>
        <w:t>Настоящият доклад има за цел да се очертае постигнатият напредък при постигане на целите на програмата, ефикасността при използването на ресурсите и добавената стойност на програмата на равнището на ЕС. В доклада също така се разглежда възможността за опростяване и запазване актуалността на целите, както и начинът, по който програмата е допринесла за постигане на приоритетите на ЕС за интелигентен, устойчив и приобщаващ растеж.</w:t>
      </w:r>
    </w:p>
    <w:p>
      <w:pPr>
        <w:pStyle w:val="Heading1"/>
        <w:numPr>
          <w:ilvl w:val="0"/>
          <w:numId w:val="2"/>
        </w:numPr>
        <w:rPr>
          <w:noProof/>
        </w:rPr>
      </w:pPr>
      <w:r>
        <w:rPr>
          <w:noProof/>
        </w:rPr>
        <w:t>Значимост</w:t>
      </w:r>
    </w:p>
    <w:p>
      <w:pPr>
        <w:spacing w:line="240" w:lineRule="auto"/>
        <w:jc w:val="both"/>
        <w:rPr>
          <w:rFonts w:ascii="Times New Roman" w:hAnsi="Times New Roman" w:cs="Times New Roman"/>
          <w:noProof/>
          <w:sz w:val="24"/>
          <w:szCs w:val="24"/>
        </w:rPr>
      </w:pPr>
      <w:r>
        <w:rPr>
          <w:rFonts w:ascii="Times New Roman" w:hAnsi="Times New Roman"/>
          <w:noProof/>
          <w:sz w:val="24"/>
        </w:rPr>
        <w:t>Програма „Фискалис 2020“ се основава на предишни версии на програмата, която е създадена преди повече от 25 години. Чрез нея се дава възможност за съгласувано прилагане на законодателството на ЕС в областта на данъчното облагане с оглед на текущите предизвикателства посредством осигуряване на обмен на информация, подпомагане на административното сътрудничество и повишаване на административния капацитет на данъчните органи. Понастоящем в програмата участват 34 държави: 28 държави — членки на ЕС, и 6 държави кандидатки и потенциални кандидатки</w:t>
      </w:r>
      <w:r>
        <w:rPr>
          <w:rStyle w:val="FootnoteReference"/>
          <w:noProof/>
        </w:rPr>
        <w:footnoteReference w:id="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Програмата съществува от прекалено дълго време, за да могат повечето заинтересовани страни да вземат предвид ситуацията преди началото ѝ. Общите информационно-технологични системи, т.е. европейските информационни системи, за които са отделени около 75 % от наличните средства по програмата, отдавна представляват неразделна част от облика на националното и европейското данъчно облагане. </w:t>
      </w:r>
      <w:r>
        <w:rPr>
          <w:rFonts w:ascii="Times New Roman" w:hAnsi="Times New Roman"/>
          <w:b/>
          <w:noProof/>
          <w:sz w:val="24"/>
        </w:rPr>
        <w:t>Националните данъчни администрации</w:t>
      </w:r>
      <w:r>
        <w:rPr>
          <w:rFonts w:ascii="Times New Roman" w:hAnsi="Times New Roman"/>
          <w:noProof/>
          <w:sz w:val="24"/>
        </w:rPr>
        <w:t xml:space="preserve"> са единодушни, че програма „Фискалис 2020“ е едновременно необходима и значима, и че зад нея стоят действителни потребности и опасения. Действията по програмата се ценят и като цяло отговарят на нуждите на администрациите. По-специално, работата в мрежа и обменът на идеи се ценят високо и се разглеждат като ключови аспекти на всички дейности по програмата. Необходимостта от повечето европейски информационни системи и тяхната значимост са очевидни; в много случаи те определят възможността за съществения обмен на информация съгласно законодателството на ЕС. Допълнителните дейности, като обученията в областта на информационните технологии, също се ценят високо от заинтересованите страни.</w:t>
      </w:r>
    </w:p>
    <w:p>
      <w:pPr>
        <w:spacing w:line="240" w:lineRule="auto"/>
        <w:jc w:val="both"/>
        <w:rPr>
          <w:rFonts w:ascii="Times New Roman" w:hAnsi="Times New Roman" w:cs="Times New Roman"/>
          <w:noProof/>
          <w:sz w:val="24"/>
          <w:szCs w:val="24"/>
        </w:rPr>
      </w:pPr>
      <w:r>
        <w:rPr>
          <w:rFonts w:ascii="Times New Roman" w:hAnsi="Times New Roman"/>
          <w:noProof/>
          <w:sz w:val="24"/>
        </w:rPr>
        <w:t>Като се има предвид основната нужда от системи за обмен на информация, системите като режима за съкратено обслужване на едно гише са насочени към нуждата от ефикасен обмен на информация с оглед на правилното функциониране на единния пазар. Това също така е насочено към нуждата от създаване на системи, които намаляват ресурсите, изисквани от администрациите, и административната тежест за данъкоплатците. Например заинтересованите страни изтъкват, че режимът за съкратено обслужване на едно гише е бил разработен специално, за да се позволи прилагането на ново законодателство в областта на ДДС, без да се създава допълнителна административна тежест. Разходите за разработването на тази система възлязоха средно на 2,5 милиона евро за всяка държава членка. Що се отнася до ползите, системата разпределя над 3 милиарда евро приходи от ДДС на годишна основа, като всяка година има увеличение от около 15 %. По-голямата част от държавите от ЕС имат нетни приходи от режима за съкратено обслужване на едно гише.</w:t>
      </w:r>
    </w:p>
    <w:p>
      <w:pPr>
        <w:spacing w:line="240" w:lineRule="auto"/>
        <w:jc w:val="both"/>
        <w:rPr>
          <w:rFonts w:ascii="Times New Roman" w:hAnsi="Times New Roman" w:cs="Times New Roman"/>
          <w:noProof/>
          <w:sz w:val="24"/>
          <w:szCs w:val="24"/>
        </w:rPr>
      </w:pPr>
      <w:r>
        <w:rPr>
          <w:rFonts w:ascii="Times New Roman" w:hAnsi="Times New Roman"/>
          <w:noProof/>
          <w:sz w:val="24"/>
        </w:rPr>
        <w:t>Без такава дейност по „Фискалис“, която е създала основни канали за обмен на информация, със сигурност би било необходимо да се намерят съответни решения за преодоляване на съществуващите потребности и проблеми. Освен това не е сигурно дали такива системи изобщо биха могли да бъдат внедрени без обща рамка за координация или източник на финансиране като „Фискалис“.</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Въпреки че националните данъчни администрации са основните бенефициери по програма „Фискалис“, много </w:t>
      </w:r>
      <w:r>
        <w:rPr>
          <w:rFonts w:ascii="Times New Roman" w:hAnsi="Times New Roman"/>
          <w:b/>
          <w:noProof/>
          <w:sz w:val="24"/>
        </w:rPr>
        <w:t>икономически оператори</w:t>
      </w:r>
      <w:r>
        <w:rPr>
          <w:rFonts w:ascii="Times New Roman" w:hAnsi="Times New Roman"/>
          <w:noProof/>
          <w:sz w:val="24"/>
        </w:rPr>
        <w:t xml:space="preserve"> също участват като ползватели на някои европейски информационни системи и модули за обучение, а понякога и като участници в конкретни съвместни действия. Опростените процедури, както и еднаквото и предвидимо прилагане на законодателството на ЕС са важни както за икономическите оператори, така и за данъчните администрации. В програмата има много дейности, които засягат тези проблемни области. Като цяло програма „Фискалис“ е от значение за икономическите оператори, тъй като нейните приоритети и дейности отговарят на основните нужди на предприятията и решават специфичните проблеми, пред които те са изправени.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Няма данни </w:t>
      </w:r>
      <w:r>
        <w:rPr>
          <w:rFonts w:ascii="Times New Roman" w:hAnsi="Times New Roman"/>
          <w:b/>
          <w:noProof/>
          <w:sz w:val="24"/>
        </w:rPr>
        <w:t>широката общественост</w:t>
      </w:r>
      <w:r>
        <w:rPr>
          <w:rFonts w:ascii="Times New Roman" w:hAnsi="Times New Roman"/>
          <w:noProof/>
          <w:sz w:val="24"/>
        </w:rPr>
        <w:t xml:space="preserve"> да е пряко запозната с програмата или с нейното въздействие. Косвено обаче програмата разглежда проблеми, които са от изключително значение за европейските граждани и за които се счита, че са необходими действия на равнището на ЕС. По-специално, програмата подобрява живота на европейските граждани, като подпомага правилното и ефективно разбиране и прилагане на данъчното законодателство в участващите държави. Последните разкрития под формата на „Досиетата от Панама“ повлияха върху това как гражданите възприемат данъчните въпроси и превърнаха темата в един от приоритетите на програмата. Теми като борбата с данъчните измами, отклонението от данъчно облагане или агресивното данъчно планиране, както и осигуряването на справедливо и еднакво прилагане на данъчното законодателство стават все по-значими за европейските граждани и общности.</w:t>
      </w:r>
    </w:p>
    <w:p>
      <w:pPr>
        <w:pStyle w:val="Heading1"/>
        <w:numPr>
          <w:ilvl w:val="0"/>
          <w:numId w:val="2"/>
        </w:numPr>
        <w:rPr>
          <w:noProof/>
        </w:rPr>
      </w:pPr>
      <w:r>
        <w:rPr>
          <w:noProof/>
        </w:rPr>
        <w:t>Ефективност</w:t>
      </w:r>
    </w:p>
    <w:p>
      <w:pPr>
        <w:spacing w:line="240" w:lineRule="auto"/>
        <w:jc w:val="both"/>
        <w:rPr>
          <w:rFonts w:ascii="Times New Roman" w:hAnsi="Times New Roman" w:cs="Times New Roman"/>
          <w:noProof/>
          <w:sz w:val="24"/>
          <w:szCs w:val="24"/>
        </w:rPr>
      </w:pPr>
      <w:r>
        <w:rPr>
          <w:rFonts w:ascii="Times New Roman" w:hAnsi="Times New Roman"/>
          <w:noProof/>
          <w:sz w:val="24"/>
        </w:rPr>
        <w:t>Конкретните цели на „Фискалис 2020“ включват подкрепата за борбата с данъчните измами, отклонението от данъчно облагане и агресивното данъчно планиране, както и прилагането на законодателството на ЕС в областта на данъчното облагане. Тези цели се осъществяват чрез осигуряване на обмен на информация, чрез подкрепа на административното сътрудничество и чрез повишаване на административния капацитет на участващите държави, така че да се намалят административната тежест за данъчните органи и разходите за спазване на изискванията за данъкоплатците.</w:t>
      </w:r>
    </w:p>
    <w:p>
      <w:pPr>
        <w:pStyle w:val="0Body"/>
        <w:rPr>
          <w:rFonts w:ascii="Times New Roman" w:eastAsiaTheme="minorHAnsi" w:hAnsi="Times New Roman"/>
          <w:noProof/>
          <w:sz w:val="24"/>
          <w:szCs w:val="24"/>
        </w:rPr>
      </w:pPr>
      <w:r>
        <w:rPr>
          <w:rFonts w:ascii="Times New Roman" w:eastAsiaTheme="minorHAnsi" w:hAnsi="Times New Roman"/>
          <w:noProof/>
          <w:sz w:val="24"/>
        </w:rPr>
        <w:t xml:space="preserve">Ролята на европейските информационни системи е междусекторна. Понастоящем работят 25 общи информационни системи, които обхващат редица презгранични въпроси от областта на прякото и косвеното данъчно облагане и подпомагат архитектурата и приложенията. Тъй като споделянето на информация е средство за постигане на другите цели, най-вече свързани с борбата с данъчните измами, отклонението от данъчно облагане и агресивното данъчно планиране, както и с прилагането на законодателството на ЕС, европейските информационни системи са допринесли значително за всички цели. Много от системите са достъпни и за икономическите оператори, като им позволяват да подават и получават информация по-лесно и по този начин облекчават тежестта от задълженията за докладване.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подпомагането на борбата с данъчните измами, отклонението от данъчно облагане и агресивното данъчно планиране</w:t>
      </w:r>
      <w:r>
        <w:rPr>
          <w:rFonts w:ascii="Times New Roman" w:hAnsi="Times New Roman"/>
          <w:noProof/>
          <w:sz w:val="24"/>
        </w:rPr>
        <w:t>, наличните данни показват, че съществуващите инструменти за споделяне на информация и форумите за сътрудничество могат да допринесат значително за постигането на целта. Данните разкриват не само нарастващо използване на общите информационни системи като цяло, но и впечатляващи примери за това как те опростяват ежедневната работа на администрациите. Най-голям е бил приносът при борбата с данъчните измами/отклонението от данъчно облагане в областта на ДДС и акцизите (за европейските информационни системи, като режима за съкратено обслужване на едно гише, системата за възстановяване на ДДС, системата за движението и контрола на акцизните стоки, електронните формуляри или системата за обмен на информация за ДДС). Приносът не е бил толкова голям при по-малкия брой информационни системи, които се занимават с прякото данъчно облагане (като например данъчния идентификационен номер на портала „Европа“ или системата за разпространение на данни); те имат по-малък обхват и осведомеността за тях, участието в тях или използването им са пропорционално по-ниски.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подпомагането на прилагането на правото на Съюза в областта на данъчното облагане</w:t>
      </w:r>
      <w:r>
        <w:rPr>
          <w:rFonts w:ascii="Times New Roman" w:hAnsi="Times New Roman"/>
          <w:noProof/>
          <w:sz w:val="24"/>
        </w:rPr>
        <w:t xml:space="preserve"> чрез осигуряване на обмен на информация, програмата е изиграла решаваща роля при подпомагането на държавите членки да общуват помежду си по сигурен и ефикасен начин в области от взаимен интерес и следователно е засилила сътрудничеството помежду им. Този аспект на целта представлява голяма част от проектите, подредени по приоритет чрез годишните работни програми, като в оценката се отбелязва особен успех при подпомагането на обмена на информация и сътрудничеството, необходими като част от законодателството в областта на ДДС и акцизите.</w:t>
      </w:r>
    </w:p>
    <w:p>
      <w:pPr>
        <w:pStyle w:val="0Body"/>
        <w:rPr>
          <w:rFonts w:ascii="Times New Roman" w:eastAsiaTheme="minorHAnsi" w:hAnsi="Times New Roman"/>
          <w:noProof/>
          <w:sz w:val="24"/>
          <w:szCs w:val="24"/>
        </w:rPr>
      </w:pPr>
      <w:r>
        <w:rPr>
          <w:rFonts w:ascii="Times New Roman" w:eastAsiaTheme="minorHAnsi" w:hAnsi="Times New Roman"/>
          <w:noProof/>
          <w:sz w:val="24"/>
        </w:rPr>
        <w:t xml:space="preserve">По отношение на </w:t>
      </w:r>
      <w:r>
        <w:rPr>
          <w:rFonts w:ascii="Times New Roman" w:eastAsiaTheme="minorHAnsi" w:hAnsi="Times New Roman"/>
          <w:b/>
          <w:noProof/>
          <w:sz w:val="24"/>
        </w:rPr>
        <w:t>подпомагането на административното сътрудничество между данъчните органи</w:t>
      </w:r>
      <w:r>
        <w:rPr>
          <w:rFonts w:ascii="Times New Roman" w:eastAsiaTheme="minorHAnsi" w:hAnsi="Times New Roman"/>
          <w:noProof/>
          <w:sz w:val="24"/>
        </w:rPr>
        <w:t>, то най-вече се е състояло под формата на съвместни действия, макар и да е включвало набор от теми и видове действия. Програмата е изиграла съществена роля за засилване на сътрудничеството между данъчните органи в държавите членки и другите участващи държави. Доказателствата за това са най-убедителни в областта на косвеното данъчно облагане (по-специално ДДС и акцизите), където компетентността на ЕС е най-силна, а равнището на дейността по програмата съответно е високо. Към тази цел се включват и прякото административно сътрудничество под формата на многостранни проверки и участието в административни разследвания. Като едни от най-популярните видове действия (над 3000 длъжностни лица взеха участие в тях през периода 2014—2017 г.), многостранните проверки свидетелстват убедително за това, че практическото административно сътрудничество не само се осъществява, но също така е и ефективно. В съчетание с координационна група, която спомага за съгласуването на работните практики и изграждането на доверие, многостранните проверки неминуемо са водели до събрани приходи и до по-голяма данъчна дисциплина.</w:t>
      </w:r>
    </w:p>
    <w:p>
      <w:pPr>
        <w:pStyle w:val="0Body"/>
        <w:rPr>
          <w:noProof/>
        </w:rPr>
      </w:pPr>
      <w:r>
        <w:rPr>
          <w:rFonts w:ascii="Times New Roman" w:eastAsiaTheme="minorHAnsi" w:hAnsi="Times New Roman"/>
          <w:noProof/>
          <w:sz w:val="24"/>
        </w:rPr>
        <w:t xml:space="preserve">Несъответствията между отделните държави и пропуските в познанията, в допълнение към непрекъснато променящия се контекст на данъчната политика, създават необходимост от това програмата </w:t>
      </w:r>
      <w:r>
        <w:rPr>
          <w:rFonts w:ascii="Times New Roman" w:eastAsiaTheme="minorHAnsi" w:hAnsi="Times New Roman"/>
          <w:b/>
          <w:noProof/>
          <w:sz w:val="24"/>
        </w:rPr>
        <w:t>да подпомага изграждането на капацитет в националните администрации</w:t>
      </w:r>
      <w:r>
        <w:rPr>
          <w:rFonts w:ascii="Times New Roman" w:eastAsiaTheme="minorHAnsi" w:hAnsi="Times New Roman"/>
          <w:noProof/>
          <w:sz w:val="24"/>
        </w:rPr>
        <w:t>. Това се извършва под формата на няколко вида съвместни действия, както и на специални мерки за техническа помощ, предоставени от Европейската комисия. Разработените по програмата модули за електронно обучение също имат за цел да увеличат капацитета на участващите длъжностни лица.</w:t>
      </w:r>
    </w:p>
    <w:p>
      <w:pPr>
        <w:pStyle w:val="Heading1"/>
        <w:numPr>
          <w:ilvl w:val="0"/>
          <w:numId w:val="2"/>
        </w:numPr>
        <w:rPr>
          <w:noProof/>
        </w:rPr>
      </w:pPr>
      <w:r>
        <w:rPr>
          <w:noProof/>
        </w:rPr>
        <w:t>Ефикасност</w:t>
      </w:r>
    </w:p>
    <w:p>
      <w:pPr>
        <w:spacing w:line="240" w:lineRule="auto"/>
        <w:jc w:val="both"/>
        <w:rPr>
          <w:rFonts w:ascii="Times New Roman" w:hAnsi="Times New Roman" w:cs="Times New Roman"/>
          <w:noProof/>
          <w:sz w:val="24"/>
          <w:szCs w:val="24"/>
        </w:rPr>
      </w:pPr>
      <w:r>
        <w:rPr>
          <w:rFonts w:ascii="Times New Roman" w:hAnsi="Times New Roman"/>
          <w:noProof/>
          <w:sz w:val="24"/>
        </w:rPr>
        <w:t>Бюджетът на програма „Фискалис 2020“ възлиза на 223 милиона евро, с поети задължения през 2014—2017 г. в размер на 124 милиона евро (което представлява 56 % от общия наличен бюджет). „Фискалис“ е програма, която се управлява пряко, като Комисията отговаря за нейното управление и координиране. Дейностите се финансират най-вече посредством безвъзмездни средства (особено съвместните действия) и обществени поръчки (особено европейските информационни системи и техническата развойна дейност за модулите за електронно обучение).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Най-голямата част от бюджета на „Фискалис“ подпомага разработването, функционирането и поддръжката на </w:t>
      </w:r>
      <w:r>
        <w:rPr>
          <w:rFonts w:ascii="Times New Roman" w:hAnsi="Times New Roman"/>
          <w:b/>
          <w:noProof/>
          <w:sz w:val="24"/>
        </w:rPr>
        <w:t>европейските информационни системи</w:t>
      </w:r>
      <w:r>
        <w:rPr>
          <w:rFonts w:ascii="Times New Roman" w:hAnsi="Times New Roman"/>
          <w:noProof/>
          <w:sz w:val="24"/>
        </w:rPr>
        <w:t>, които представляват 74,7 % от бюджета, определен за проекта. Трудно е да се определи количествената и особено паричната стойност на конкретните ползи, произтичащи от информационните системи. Данните не позволяват да се направи разграничение между повечето различни системи, така че разходите да могат да бъдат съпоставяни с доказана ефективност. Една от основните констатации на оценката обаче е, че хоризонталната архитектура и системите, свързани с косвеното данъчно облагане, като например системата за обмен на информация за ДДС, системата за движението и контрола на акцизните стоки и режима за съкратено обслужване на едно гише, получиха най-много положителни оценки и често са били причина за значителни икономии за данъчните администрации и икономическите оператори.</w:t>
      </w:r>
    </w:p>
    <w:p>
      <w:pPr>
        <w:spacing w:line="240" w:lineRule="auto"/>
        <w:jc w:val="both"/>
        <w:rPr>
          <w:rFonts w:ascii="Times New Roman" w:hAnsi="Times New Roman" w:cs="Times New Roman"/>
          <w:noProof/>
          <w:sz w:val="24"/>
          <w:szCs w:val="24"/>
        </w:rPr>
      </w:pPr>
      <w:r>
        <w:rPr>
          <w:rFonts w:ascii="Times New Roman" w:hAnsi="Times New Roman"/>
          <w:b/>
          <w:noProof/>
          <w:sz w:val="24"/>
        </w:rPr>
        <w:t>Съвместните действия</w:t>
      </w:r>
      <w:r>
        <w:rPr>
          <w:rFonts w:ascii="Times New Roman" w:hAnsi="Times New Roman"/>
          <w:noProof/>
          <w:sz w:val="24"/>
        </w:rPr>
        <w:t xml:space="preserve"> по програма „Фискалис 2020“ възлизат на 15,3 % от определения бюджет за първите 4 години на програмата. Те предоставят на служителите на националните администрации платформа и финансиране с оглед организиране на срещи по въпроси от общ интерес и следователно са в основата на насърчаването на сътрудничество. Това сътрудничество включва обмен на идеи и практически опит, проучване на трудни въпроси, нови технологични тенденции, бизнес решения и ИТ подходи, съгласуване на разбирането на законодателството и практиките или насърчаване на промени в националните политики. Наличните данни за първите 4 години на програмата показват, че голям брой лица (по-голямата част от които са данъчни служители) участват в програмата всяка година, като броят е относително стабилен и в съответствие с минали тенденции. Както и при предишния период на финансиране, по време на настоящата програма е имало около 4000 индивидуални участия годишно. Структурата на разходите за тях се различава слабо в зависимост от различните видове подпомагани действия (от проектни групи, работни посещения, работни срещи и семинари до многостранни проверки и други). Средната стойност на разходите за участник за действие за всички видове съвместни действия (с изключение на експертните екипи) възлиза на около 875 EUR, което съответства на други подобни програми.</w:t>
      </w:r>
    </w:p>
    <w:p>
      <w:pPr>
        <w:spacing w:line="240" w:lineRule="auto"/>
        <w:jc w:val="both"/>
        <w:rPr>
          <w:rFonts w:ascii="Times New Roman" w:hAnsi="Times New Roman" w:cs="Times New Roman"/>
          <w:noProof/>
          <w:sz w:val="24"/>
          <w:szCs w:val="24"/>
        </w:rPr>
      </w:pPr>
      <w:r>
        <w:rPr>
          <w:rFonts w:ascii="Times New Roman" w:hAnsi="Times New Roman"/>
          <w:b/>
          <w:noProof/>
          <w:sz w:val="24"/>
        </w:rPr>
        <w:t>Дейностите за обучение</w:t>
      </w:r>
      <w:r>
        <w:rPr>
          <w:rFonts w:ascii="Times New Roman" w:hAnsi="Times New Roman"/>
          <w:noProof/>
          <w:sz w:val="24"/>
        </w:rPr>
        <w:t xml:space="preserve"> по програма „Фискалис 2020“ до момента възлизат на 3,2 %</w:t>
      </w:r>
      <w:r>
        <w:rPr>
          <w:rStyle w:val="FootnoteReference"/>
          <w:noProof/>
        </w:rPr>
        <w:footnoteReference w:id="3"/>
      </w:r>
      <w:r>
        <w:rPr>
          <w:rFonts w:ascii="Times New Roman" w:hAnsi="Times New Roman"/>
          <w:noProof/>
          <w:sz w:val="24"/>
        </w:rPr>
        <w:t xml:space="preserve"> от определения бюджет. Тъй като разходите за разработване на модулите за обучение представляват предимно еднократна инвестиция, тяхната ефикасност и рентабилност нараства с всеки допълнителен участник, тъй като допълнителните разходи за него са малки, дори нулеви. Постоянният ръст на броя на националните данъчни служители, които са участвали в модулите за обучение, и броя на изтеглянията на публично достъпни файлове показват, че е налице необходимост, а материалите за обучение на „Фискалис 2020“ запълват тази празнина. Водещият продукт по този елемент на програмата е пакетът за електронно обучение по ДДС, който се състои от 12 курса. Като цяло благодарение на „Фискалис 2020“ през периода 2014—2017 г. са били обучени около 46 700 данъчни служители. Модулите за електронно обучение също така са били изтеглени 34 950 пъти от уебсайта „Европа“, най-вече от професионални сдружения или многонационални дружества. Въз основа на изчисленията, предоставени от лицата, които са изтеглили модулите от уебсайта „Европа“, спонсорираните от „Фискалис“ модули за обучение са достигнали потенциална група от 420 000 обучавани.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Въпреки че </w:t>
      </w:r>
      <w:r>
        <w:rPr>
          <w:rFonts w:ascii="Times New Roman" w:hAnsi="Times New Roman"/>
          <w:b/>
          <w:noProof/>
          <w:sz w:val="24"/>
        </w:rPr>
        <w:t>опростяването</w:t>
      </w:r>
      <w:r>
        <w:rPr>
          <w:rFonts w:ascii="Times New Roman" w:hAnsi="Times New Roman"/>
          <w:noProof/>
          <w:sz w:val="24"/>
        </w:rPr>
        <w:t xml:space="preserve"> като такова не е една от целите на програмата „Фискалис 2020“, тя предоставя подкрепа на други инициативи, които са замислени с цел да опростят и модернизират облика на европейското данъчно облагане. ИТ архитектурата, която поддържа обмена на информация между данъчните органи (т.е. общата комуникационна мрежа и различните видове електронни формуляри), активно спомага за опростяване на процедурите и следователно намалява времето, необходимо за обработка на заявките.</w:t>
      </w:r>
    </w:p>
    <w:p>
      <w:pPr>
        <w:spacing w:line="240" w:lineRule="auto"/>
        <w:jc w:val="both"/>
        <w:rPr>
          <w:rFonts w:ascii="Times New Roman" w:hAnsi="Times New Roman"/>
          <w:noProof/>
          <w:sz w:val="24"/>
          <w:szCs w:val="24"/>
        </w:rPr>
      </w:pPr>
      <w:r>
        <w:rPr>
          <w:rFonts w:ascii="Times New Roman" w:hAnsi="Times New Roman"/>
          <w:noProof/>
          <w:sz w:val="24"/>
        </w:rPr>
        <w:t xml:space="preserve">Постигнато е и известно повишаване на ефикасността, що се отнася до </w:t>
      </w:r>
      <w:r>
        <w:rPr>
          <w:rFonts w:ascii="Times New Roman" w:hAnsi="Times New Roman"/>
          <w:b/>
          <w:noProof/>
          <w:sz w:val="24"/>
        </w:rPr>
        <w:t>полезните взаимодействия</w:t>
      </w:r>
      <w:r>
        <w:rPr>
          <w:rFonts w:ascii="Times New Roman" w:hAnsi="Times New Roman"/>
          <w:noProof/>
          <w:sz w:val="24"/>
        </w:rPr>
        <w:t xml:space="preserve"> между програмите „Фискалис 2020“ и „Митници 2020“. Въпреки че областите на политиката за двете програми се различават, те споделят сходна насоченост, като позволяват на администрациите да си сътрудничат и да обменят информация. Тези сходства дават възможности за полезни взаимодействия по отношение както на административните договорености, така и на съвместната работа, включително взаимно обогатяване и съвместно финансиране на общи елементи, като например информационните системи и подобни подходи за изграждане на капацитет на човешките ресурси и обучение. Повечето от потенциалните полезни взаимодействия са били наблюдавани на централно равнище на управление на програмата и при интегрираните информационни системи. Като се има предвид тясно съгласуваното управление на програмите, са установени областите на потенциални полезни взаимодействия и обмен на информация във връзка с разработването на европейските информационни системи, като с многогодишния стратегически план за митниците европейските информационни системи предлагат отправна точка за разработване и прилагане на съответен многогодишен стратегически план за данъчното облагане.</w:t>
      </w:r>
    </w:p>
    <w:p>
      <w:pPr>
        <w:spacing w:line="240" w:lineRule="auto"/>
        <w:jc w:val="both"/>
        <w:rPr>
          <w:rFonts w:ascii="Times New Roman" w:hAnsi="Times New Roman" w:cs="Times New Roman"/>
          <w:noProof/>
          <w:sz w:val="24"/>
          <w:szCs w:val="24"/>
        </w:rPr>
      </w:pPr>
      <w:r>
        <w:rPr>
          <w:rFonts w:ascii="Times New Roman" w:hAnsi="Times New Roman"/>
          <w:noProof/>
          <w:sz w:val="24"/>
        </w:rPr>
        <w:t>По отношение на съдържанието на двете програми, едно осезаемо изключение е областта на акцизите, където компетентността често се споделя между националните данъчни и митнически администрации и където двете програми са предоставили изрична подкрепа за откриване на области от общ интерес и за работата в екип, за да се избегнат измами, свързани с акцизите.</w:t>
      </w:r>
    </w:p>
    <w:p>
      <w:pPr>
        <w:pStyle w:val="Heading1"/>
        <w:numPr>
          <w:ilvl w:val="0"/>
          <w:numId w:val="2"/>
        </w:numPr>
        <w:rPr>
          <w:noProof/>
        </w:rPr>
      </w:pPr>
      <w:r>
        <w:rPr>
          <w:noProof/>
        </w:rPr>
        <w:t>Съгласуваност</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Програмата е </w:t>
      </w:r>
      <w:r>
        <w:rPr>
          <w:rFonts w:ascii="Times New Roman" w:hAnsi="Times New Roman"/>
          <w:b/>
          <w:noProof/>
          <w:sz w:val="24"/>
        </w:rPr>
        <w:t>вътрешно съгласувана</w:t>
      </w:r>
      <w:r>
        <w:rPr>
          <w:rFonts w:ascii="Times New Roman" w:hAnsi="Times New Roman"/>
          <w:noProof/>
          <w:sz w:val="24"/>
        </w:rPr>
        <w:t>, като е налице висока съгласуваност между интервеционната логика, целите на програмата, приоритетите и проектите на годишната работна програма. Концептуалното съдържание на програмата е обвързано с постигане на определена цел, което означава, че всички действия по програмата трябва да се отнасят до целите, посочени в Регламент (ЕС) № 1286/2013. Действията по програмата са определени в съответствие с общите, специфичните и оперативните цели, както и с най-подходящия метод на изпълнение.</w:t>
      </w:r>
    </w:p>
    <w:p>
      <w:pPr>
        <w:pStyle w:val="0Body"/>
        <w:rPr>
          <w:rFonts w:ascii="Times New Roman" w:eastAsiaTheme="minorHAnsi" w:hAnsi="Times New Roman"/>
          <w:noProof/>
          <w:sz w:val="24"/>
          <w:szCs w:val="24"/>
        </w:rPr>
      </w:pPr>
      <w:r>
        <w:rPr>
          <w:rFonts w:ascii="Times New Roman" w:eastAsiaTheme="minorHAnsi" w:hAnsi="Times New Roman"/>
          <w:noProof/>
          <w:sz w:val="24"/>
        </w:rPr>
        <w:t xml:space="preserve">По отношение на </w:t>
      </w:r>
      <w:r>
        <w:rPr>
          <w:rFonts w:ascii="Times New Roman" w:eastAsiaTheme="minorHAnsi" w:hAnsi="Times New Roman"/>
          <w:b/>
          <w:noProof/>
          <w:sz w:val="24"/>
        </w:rPr>
        <w:t>външната съгласуваност</w:t>
      </w:r>
      <w:r>
        <w:rPr>
          <w:rFonts w:ascii="Times New Roman" w:eastAsiaTheme="minorHAnsi" w:hAnsi="Times New Roman"/>
          <w:noProof/>
          <w:sz w:val="24"/>
        </w:rPr>
        <w:t xml:space="preserve"> е налице тясна свързаност между програмата и стратегията „Европа 2020“, както се вижда от съответните действия и дейности. Благодарение на дейностите си програмата подпомага прилагането на данъчната политика на ЕС, по-специално борбата с данъчните измами, отклонението от данъчно облагане или агресивното данъчно планиране. Това, от своя страна, спомага за ограничаване на нарушенията на конкуренцията и смущенията на единния пазар, които може да възникнат при взаимодействието между данъчните системи на 28-те държави членки.</w:t>
      </w:r>
    </w:p>
    <w:p>
      <w:pPr>
        <w:pStyle w:val="0Body"/>
        <w:rPr>
          <w:rFonts w:ascii="Times New Roman" w:hAnsi="Times New Roman"/>
          <w:noProof/>
          <w:sz w:val="24"/>
          <w:szCs w:val="24"/>
        </w:rPr>
      </w:pPr>
      <w:r>
        <w:rPr>
          <w:rFonts w:ascii="Times New Roman" w:eastAsiaTheme="minorHAnsi" w:hAnsi="Times New Roman"/>
          <w:noProof/>
          <w:sz w:val="24"/>
        </w:rPr>
        <w:t>Участието на държавите кандидатки и потенциалните държави кандидатки като цяло е положително, като са налице солидни доказателства за активно участие. Досега шестте държави извън ЕС, които участват в програмата, са участвали в съвместните действия на програмата и дори са използвали някои от информационните системи, когато са имали разрешение за това. Налице са обаче поле и възможност те да бъдат ангажирани още повече.</w:t>
      </w:r>
    </w:p>
    <w:p>
      <w:pPr>
        <w:pStyle w:val="0Body"/>
        <w:rPr>
          <w:rFonts w:ascii="Times New Roman" w:hAnsi="Times New Roman"/>
          <w:noProof/>
          <w:sz w:val="24"/>
          <w:szCs w:val="24"/>
        </w:rPr>
      </w:pPr>
      <w:r>
        <w:rPr>
          <w:rFonts w:ascii="Times New Roman" w:hAnsi="Times New Roman"/>
          <w:noProof/>
          <w:sz w:val="24"/>
        </w:rPr>
        <w:t>Областта, в която изглежда, че липсва силна външна съгласуваност, е взаимното допълване с други инициативи на ЕС извън програмата „Митници 2020“. Въпреки че естеството на целите и дейностите на програмата предполагат потенциални полезни взаимодействия с редица други програми и проекти, са набелязани само два примера за практическа координация: първият е с Програмата за подкрепа на структурните реформи, а вторият е с финансирания от Европейския парламент пилотен проект TAXEDU. Това подчертава факта, че съществуват възможности, които понастоящем не се използват в достатъчна степен. Ето защо са необходими по-нататъшни усилия за координация между различните отдели на Комисията, а също и с други институции, за да се използва пълноценно потенциалът на съществуващите програми.</w:t>
      </w:r>
    </w:p>
    <w:p>
      <w:pPr>
        <w:pStyle w:val="Heading1"/>
        <w:numPr>
          <w:ilvl w:val="0"/>
          <w:numId w:val="2"/>
        </w:numPr>
        <w:rPr>
          <w:noProof/>
        </w:rPr>
      </w:pPr>
      <w:r>
        <w:rPr>
          <w:noProof/>
        </w:rPr>
        <w:t>Добавена стойност на ЕС</w:t>
      </w:r>
    </w:p>
    <w:p>
      <w:pPr>
        <w:pStyle w:val="EnvelopeReturn"/>
        <w:rPr>
          <w:noProof/>
          <w:sz w:val="24"/>
          <w:szCs w:val="24"/>
        </w:rPr>
      </w:pPr>
      <w:r>
        <w:rPr>
          <w:noProof/>
          <w:sz w:val="24"/>
        </w:rPr>
        <w:t xml:space="preserve">Програма „Фискалис 2020“ и различните видове финансирани дейности внасят добавена стойност към работата на националните данъчни администрации и на икономическите оператори чрез реализиране на ясно </w:t>
      </w:r>
      <w:r>
        <w:rPr>
          <w:b/>
          <w:noProof/>
          <w:sz w:val="24"/>
        </w:rPr>
        <w:t>повишаване на ефективността и икономии от мащаба</w:t>
      </w:r>
      <w:r>
        <w:rPr>
          <w:noProof/>
          <w:sz w:val="24"/>
        </w:rPr>
        <w:t>.</w:t>
      </w:r>
    </w:p>
    <w:p>
      <w:pPr>
        <w:pStyle w:val="NormalWeb"/>
        <w:jc w:val="both"/>
        <w:rPr>
          <w:noProof/>
        </w:rPr>
      </w:pPr>
      <w:r>
        <w:rPr>
          <w:b/>
          <w:noProof/>
        </w:rPr>
        <w:t>Европейските информационни системи</w:t>
      </w:r>
      <w:r>
        <w:rPr>
          <w:noProof/>
        </w:rPr>
        <w:t>, подпомагани от програма „Фискалис“, са довели до значителни — макар и трудни за оценка в количествено отношение — икономии за националните администрации под формата на намалени разходи за ИТ и намалени човешки ресурси в сравнение със сценарий без действие от страна на ЕС. Централно разработените системи са по-евтини за разработване и прилагане отколкото 28 отделни национални системи и също така при тях се избягват разходите, свързани с оперативната съвместимост между държавите. Когато системите са разделени на елементи на ЕС и национални елементи, програмата осигурява взаимосвързаност и ефикасно съвместно съществуване на информационните системи. Като позволява на държавите членки да работят заедно в области от взаимен интерес, сътрудничеството в областта на информационните технологии също така предлага потенциал за реализиране на икономии от мащаба. Основната цел на сътрудничеството в областта на информационните технологии е да се внедрят общи информационни системи (разработване на софтуер, ИТ решения и елементи, както и изпитване) чрез обединяване на ресурси по формален начин и с балансирана собственост между Комисията и държавите членки.</w:t>
      </w:r>
    </w:p>
    <w:p>
      <w:pPr>
        <w:pStyle w:val="NormalWeb"/>
        <w:jc w:val="both"/>
        <w:rPr>
          <w:noProof/>
        </w:rPr>
      </w:pPr>
      <w:r>
        <w:rPr>
          <w:b/>
          <w:noProof/>
        </w:rPr>
        <w:t>Съвместните действия</w:t>
      </w:r>
      <w:r>
        <w:rPr>
          <w:noProof/>
        </w:rPr>
        <w:t>, особено работните срещи, работните посещения и групите по проекти, имат допълнителен принос за обмена на информация и опит, предоставят повече възможности за работа в мрежа и подобряват разбирането на общите проблеми и решения. Също така си заслужава да се отбележи и ролята на експертните екипи, които са нов елемент на програмата и чиято структура позволява засилено сътрудничество между държавите членки по сложни проекти с висока степен на ангажираност сред участниците. Повечето държави членки ги считат за интересен и полезен начин за съгласуване и координиране на работата си, особено по отношение на ИТ решенията. Консултациите и работата в мрежа с колеги от други държави посредством съвместни действия се считат за допълващи инициативите на национално равнище, тъй като помагат да се изградят връзки и доверие и подкрепят споделянето на опит и знания. Общите дейности за обучение също са спомогнали да се спестят време и парични средства на администрациите в някои държави благодарение на съвместното разработване и осигуряване на обучение, което иначе не би било налично.</w:t>
      </w:r>
    </w:p>
    <w:p>
      <w:pPr>
        <w:pStyle w:val="0Body"/>
        <w:rPr>
          <w:rFonts w:ascii="Times New Roman" w:hAnsi="Times New Roman"/>
          <w:noProof/>
          <w:sz w:val="24"/>
          <w:szCs w:val="24"/>
        </w:rPr>
      </w:pPr>
      <w:r>
        <w:rPr>
          <w:rFonts w:ascii="Times New Roman" w:hAnsi="Times New Roman"/>
          <w:noProof/>
          <w:sz w:val="24"/>
        </w:rPr>
        <w:t>В рамките на програмата е било установено и ясно взаимодействие между националните действия и действията на ЕС. Между националните координатори на програмите, с които бяха проведени консултации, беше налице консенсус, че „Фискалис“ предоставя възможност за действие над това, което държавите участнички биха могли да постигнат сами. Това варира от дейности като административното сътрудничество — при което действията по програмата надграждат националните процеси — до осигуряване на платформи за обучение и координация при прилагането на правото на ЕС (привеждане в съответствие с достиженията на правото на ЕС в случая на държавите кандидатки и потенциалните кандидатки).</w:t>
      </w:r>
    </w:p>
    <w:p>
      <w:pPr>
        <w:pStyle w:val="0Body"/>
        <w:rPr>
          <w:rFonts w:ascii="Times New Roman" w:hAnsi="Times New Roman"/>
          <w:noProof/>
          <w:sz w:val="24"/>
          <w:szCs w:val="24"/>
        </w:rPr>
      </w:pPr>
      <w:r>
        <w:rPr>
          <w:rFonts w:ascii="Times New Roman" w:hAnsi="Times New Roman"/>
          <w:b/>
          <w:noProof/>
          <w:sz w:val="24"/>
        </w:rPr>
        <w:t>Устойчивостта</w:t>
      </w:r>
      <w:r>
        <w:rPr>
          <w:rFonts w:ascii="Times New Roman" w:hAnsi="Times New Roman"/>
          <w:noProof/>
          <w:sz w:val="24"/>
        </w:rPr>
        <w:t xml:space="preserve"> на резултатите и постиженията на програмата като цяло е висока. Това включва повече нематериални ползи (като например засилена работа в мрежа и връзки) и осезаеми резултати (включително инструменти, методи и т.н.), по-специално по отношение на подобрения човешки капацитет в националните администрации. Въпреки това, заинтересованите страни, с които бяха проведени консултации, бяха единодушни, че е </w:t>
      </w:r>
      <w:r>
        <w:rPr>
          <w:rFonts w:ascii="Times New Roman" w:hAnsi="Times New Roman"/>
          <w:b/>
          <w:noProof/>
          <w:sz w:val="24"/>
        </w:rPr>
        <w:t>важно програмата да продължи и за в бъдеще</w:t>
      </w:r>
      <w:r>
        <w:rPr>
          <w:rFonts w:ascii="Times New Roman" w:hAnsi="Times New Roman"/>
          <w:noProof/>
          <w:sz w:val="24"/>
        </w:rPr>
        <w:t>. Така най-добре ще се гарантира устойчивостта на европейските информационни системи, които се подпомагат от програмата, и ще се избегне потенциалното отрицателно въздействие, което намаленото или прекратеното финансиране би имало върху тези информационни системи. Като цяло в оценката се констатира, че продължаването на подкрепата за установените информационни системи е необходимо за гарантирането на създадената архитектура за обмен на информация, както и на многото платформи, които обхващат основни елементи, управлявани от Комисията.</w:t>
      </w:r>
    </w:p>
    <w:p>
      <w:pPr>
        <w:pStyle w:val="Heading1"/>
        <w:numPr>
          <w:ilvl w:val="0"/>
          <w:numId w:val="2"/>
        </w:numPr>
        <w:rPr>
          <w:noProof/>
        </w:rPr>
      </w:pPr>
      <w:r>
        <w:rPr>
          <w:noProof/>
        </w:rPr>
        <w:t>Заключения</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Констатациите от оценката потвърждават </w:t>
      </w:r>
      <w:r>
        <w:rPr>
          <w:rFonts w:ascii="Times New Roman" w:hAnsi="Times New Roman"/>
          <w:b/>
          <w:noProof/>
          <w:sz w:val="24"/>
        </w:rPr>
        <w:t>значимостта</w:t>
      </w:r>
      <w:r>
        <w:rPr>
          <w:rFonts w:ascii="Times New Roman" w:hAnsi="Times New Roman"/>
          <w:noProof/>
          <w:sz w:val="24"/>
        </w:rPr>
        <w:t xml:space="preserve"> на специфичните цели на „Фискалис“, като идентифицират ясна потребност от сигурен и бърз обмен на информация, сътрудничество между данъчните администрации и повишаване на административния капацитет. Тези потребности произтичат от нарастващия обхват на законодателството и инициативите на ЕС, презграничния характер на проблемите и постоянната необходимост от съгласуваност между държавите. Между заинтересованите страни, с които бяха проведени консултации, беше постигнато всеобщо съгласие, че програмата е необходима за улесняване на този обмен и сътрудничество и че без такава подкрепа амбициозните политики на ЕС не биха били възможни. В резултат на това ролята на програмата в насърчаването на съгласуваността на подходите, административните процедури и правила е от голямо значение.</w:t>
      </w:r>
    </w:p>
    <w:p>
      <w:pPr>
        <w:pStyle w:val="0Body"/>
        <w:rPr>
          <w:rFonts w:ascii="Times New Roman" w:hAnsi="Times New Roman"/>
          <w:noProof/>
          <w:sz w:val="24"/>
          <w:szCs w:val="24"/>
        </w:rPr>
      </w:pPr>
      <w:r>
        <w:rPr>
          <w:rFonts w:ascii="Times New Roman" w:hAnsi="Times New Roman"/>
          <w:noProof/>
          <w:sz w:val="24"/>
        </w:rPr>
        <w:t xml:space="preserve">Благодарение на трите си основни вида дейности (европейски информационни системи, съвместни действия и обучение) програмата е била </w:t>
      </w:r>
      <w:r>
        <w:rPr>
          <w:rFonts w:ascii="Times New Roman" w:hAnsi="Times New Roman"/>
          <w:b/>
          <w:noProof/>
          <w:sz w:val="24"/>
        </w:rPr>
        <w:t>ефективна</w:t>
      </w:r>
      <w:r>
        <w:rPr>
          <w:rFonts w:ascii="Times New Roman" w:hAnsi="Times New Roman"/>
          <w:noProof/>
          <w:sz w:val="24"/>
        </w:rPr>
        <w:t>, що се отнася до засилване на сътрудничеството между данъчните органи в държавите — членки на ЕС, и в другите участващи държави. Програмата е предоставила рамката и технологичните средства, необходими за съвместна работа и обмен на информация във връзка с прилагането на данъчното законодателство на ЕС и борбата с отклонението от данъчно облагане, измамите или агресивното данъчно планиране в една все по-мобилна Европа. Доказателствата за това са най-убедителни в областта на косвеното данъчно облагане (по-специално ДДС и акцизите), където компетентността на ЕС е най-силна, а равнището на дейността по програмата съответно е високо.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Цялостната структура на програмата и процесите по вземане на решения и определяне на приоритети са изпитани във времето и като цяло са подходящи за заинтересованите страни както в Комисията, така и в администрациите на участващите държави. Въпреки че ползите от нея не могат да получат парично изражение, съпоставянето на констатациите относно ефективността с данните за разходите и положителните констатации относно оперативната </w:t>
      </w:r>
      <w:r>
        <w:rPr>
          <w:rFonts w:ascii="Times New Roman" w:hAnsi="Times New Roman"/>
          <w:b/>
          <w:noProof/>
          <w:sz w:val="24"/>
        </w:rPr>
        <w:t>ефикасност</w:t>
      </w:r>
      <w:r>
        <w:rPr>
          <w:rFonts w:ascii="Times New Roman" w:hAnsi="Times New Roman"/>
          <w:noProof/>
          <w:sz w:val="24"/>
        </w:rPr>
        <w:t xml:space="preserve"> дава сериозни доводи за това, че програмата като цяло е рентабилна. Очевидно е, че европейските информационни системи, съвместните действия и дейностите за обучение създават стойност за ЕС и националните данъчни администрации, като им помагат да обединяват ресурси (и по този начин да генерират икономии от мащаба), да увеличават събираемостта на приходите и спазването на законодателството и да работят по-ефективно. Икономическите оператори също са извлекли непреки ползи от по-доброто администриране на данъчната политика, както и от прякото използване на определени информационни системи и модули за електронно обучение.</w:t>
      </w:r>
    </w:p>
    <w:p>
      <w:pPr>
        <w:pStyle w:val="0Body"/>
        <w:rPr>
          <w:rFonts w:ascii="Times New Roman" w:eastAsiaTheme="minorHAnsi" w:hAnsi="Times New Roman"/>
          <w:noProof/>
          <w:sz w:val="24"/>
          <w:szCs w:val="24"/>
        </w:rPr>
      </w:pPr>
      <w:r>
        <w:rPr>
          <w:rFonts w:ascii="Times New Roman" w:eastAsiaTheme="minorHAnsi" w:hAnsi="Times New Roman"/>
          <w:noProof/>
          <w:sz w:val="24"/>
        </w:rPr>
        <w:t xml:space="preserve">Между различните равнища и елементи на програма „Фискалис“ има силна вътрешна </w:t>
      </w:r>
      <w:r>
        <w:rPr>
          <w:rFonts w:ascii="Times New Roman" w:eastAsiaTheme="minorHAnsi" w:hAnsi="Times New Roman"/>
          <w:b/>
          <w:noProof/>
          <w:sz w:val="24"/>
        </w:rPr>
        <w:t>съгласуваност</w:t>
      </w:r>
      <w:r>
        <w:rPr>
          <w:rFonts w:ascii="Times New Roman" w:eastAsiaTheme="minorHAnsi" w:hAnsi="Times New Roman"/>
          <w:noProof/>
          <w:sz w:val="24"/>
        </w:rPr>
        <w:t>. Това е резултат от няколко фактора, включително от една обвързана с постигането на определена цел концепция, която осигурява съответствие на различните равнища на интервенционна логика — от общите, специфичните и оперативните цели до приоритетите и дейностите. По отношение на външната съгласуваност на програмата е налице тясна свързаност между програмата и стратегията „Европа 2020“, както се вижда от съответните действия и дейности, подпомагани от програмата. Участието на държавите кандидатки и потенциалните кандидатки е положително като цяло, като са налице ясни доказателства за активно участие и възможности тези държави да бъдат ангажирани още повече.</w:t>
      </w:r>
    </w:p>
    <w:p>
      <w:pPr>
        <w:pStyle w:val="0Body"/>
        <w:rPr>
          <w:rFonts w:ascii="Times New Roman" w:hAnsi="Times New Roman"/>
          <w:noProof/>
          <w:sz w:val="24"/>
          <w:szCs w:val="24"/>
        </w:rPr>
      </w:pPr>
      <w:r>
        <w:rPr>
          <w:rFonts w:ascii="Times New Roman" w:hAnsi="Times New Roman"/>
          <w:noProof/>
          <w:sz w:val="24"/>
        </w:rPr>
        <w:t xml:space="preserve">Програмата е била ефективна, що се отнася до намирането на решения на проблеми с ясно изразено европейско измерение. По-специално, програмата добавя стойност, като предоставя форум за обсъждане, обмен на опит и работа в мрежа между държавите членки, което не би било възможно без подкрепата на Комисията. „Фискалис“ също така е спомогнала за създаването на рамка за обмен на информация благодарение на разнообразието от информационни системи и дейности. Те са довели до материални и нематериални ползи от мащаба и координацията. Ясният компонент на ЕС и фактът, че би било трудно или невъзможно същите резултати да се постигнат без подкрепата на програмата — по-специално по отношение на необходимата поддръжка на европейските информационни системи — също води до заключението, че непрекъснатата подкрепа чрез финансирането от програмата е уместна и благоприятна от гледна точка на </w:t>
      </w:r>
      <w:r>
        <w:rPr>
          <w:rFonts w:ascii="Times New Roman" w:hAnsi="Times New Roman"/>
          <w:b/>
          <w:noProof/>
          <w:sz w:val="24"/>
        </w:rPr>
        <w:t>добавената стойност на ЕС</w:t>
      </w:r>
      <w:r>
        <w:rPr>
          <w:rFonts w:ascii="Times New Roman" w:hAnsi="Times New Roman"/>
          <w:noProof/>
          <w:sz w:val="24"/>
        </w:rPr>
        <w:t>.</w:t>
      </w:r>
    </w:p>
    <w:p>
      <w:pPr>
        <w:spacing w:line="240" w:lineRule="auto"/>
        <w:rPr>
          <w:noProof/>
        </w:rPr>
      </w:pPr>
    </w:p>
    <w:p>
      <w:pPr>
        <w:pStyle w:val="doc-ti"/>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276"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2186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Регламент (ЕС) № 1286/2013 на Европейския парламент и на Съвета от 11 декември 2013 г. за създаване на програма за действие за подобряване на функционирането на системите за данъчно облагане в Европейския съюз за периода 2014—2020 г. („Фискалис 2020“) и за отмяна на Решение № 1482/2007/ЕО</w:t>
      </w:r>
    </w:p>
  </w:footnote>
  <w:footnote w:id="2">
    <w:p>
      <w:pPr>
        <w:pStyle w:val="FootnoteText"/>
        <w:spacing w:after="0"/>
      </w:pPr>
      <w:r>
        <w:footnoteRef/>
      </w:r>
      <w:r>
        <w:t xml:space="preserve"> Албания, Босна и Херцеговина, бивша югославска република Македония, Черна гора, Сърбия и Турция.</w:t>
      </w:r>
    </w:p>
  </w:footnote>
  <w:footnote w:id="3">
    <w:p>
      <w:pPr>
        <w:pStyle w:val="FootnoteText"/>
      </w:pPr>
      <w:r>
        <w:rPr>
          <w:rStyle w:val="FootnoteReference"/>
        </w:rPr>
        <w:footnoteRef/>
      </w:r>
      <w:r>
        <w:t xml:space="preserve"> Останалите 6,8 % от разходите, за които са поети задължения, бяха използвани за проучвания в подкрепа на анализа и по-нататъшна подготвителна работа.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lvlText w:val="%1."/>
      <w:lvlJc w:val="left"/>
      <w:pPr>
        <w:tabs>
          <w:tab w:val="num" w:pos="480"/>
        </w:tabs>
        <w:ind w:left="480" w:hanging="480"/>
      </w:pPr>
    </w:lvl>
    <w:lvl w:ilvl="1">
      <w:start w:val="1"/>
      <w:numFmt w:val="decimal"/>
      <w:pStyle w:val="NumPar2"/>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pStyle w:val="NumPa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B8B799F"/>
    <w:multiLevelType w:val="hybridMultilevel"/>
    <w:tmpl w:val="1A5EE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oNotTrackFormattin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1DBFB03-C496-4411-A63C-A8CA1C82EF23"/>
    <w:docVar w:name="LW_COVERPAGE_TYPE" w:val="1"/>
    <w:docVar w:name="LW_CROSSREFERENCE" w:val="{SWD(2019) 15 final}"/>
    <w:docVar w:name="LW_DocType" w:val="NORMAL"/>
    <w:docVar w:name="LW_EMISSION" w:val="7.2.2019"/>
    <w:docVar w:name="LW_EMISSION_ISODATE" w:val="2019-02-0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2?\u1077?\u1078?\u1076?\u1080?\u1085?\u1085?\u1072? \u1086?\u1094?\u1077?\u1085?\u1082?\u1072? \u1085?\u1072? \u1087?\u1088?\u1086?\u1075?\u1088?\u1072?\u1084?\u1072? \u8222?\u1060?\u1080?\u1089?\u1082?\u1072?\u1083?\u1080?\u1089? 2020\u8220?"/>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TAXUD\TAXUD-2018-00681\TAXUD-2018-00681-00-00-EN-EDT-00.201811161150178284282.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style>
  <w:style w:type="character" w:styleId="Hyperlink">
    <w:name w:val="Hyperlink"/>
    <w:basedOn w:val="DefaultParagraphFont"/>
    <w:uiPriority w:val="99"/>
    <w:semiHidden/>
    <w:unhideWhenUsed/>
    <w:rPr>
      <w:color w:val="0000FF"/>
      <w:u w:val="single"/>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GROW H1 Char"/>
    <w:basedOn w:val="DefaultParagraphFont"/>
    <w:link w:val="Heading1"/>
    <w:rPr>
      <w:rFonts w:ascii="Times New Roman" w:eastAsia="Times New Roman" w:hAnsi="Times New Roman" w:cs="Times New Roman"/>
      <w:b/>
      <w:smallCaps/>
      <w:sz w:val="24"/>
      <w:szCs w:val="20"/>
    </w:rPr>
  </w:style>
  <w:style w:type="paragraph" w:customStyle="1" w:styleId="NumPar2">
    <w:name w:val="NumPar 2"/>
    <w:basedOn w:val="Heading2"/>
    <w:next w:val="Normal"/>
    <w:pPr>
      <w:keepNext w:val="0"/>
      <w:keepLines w:val="0"/>
      <w:numPr>
        <w:ilvl w:val="1"/>
        <w:numId w:val="2"/>
      </w:numPr>
      <w:tabs>
        <w:tab w:val="clear" w:pos="1200"/>
      </w:tabs>
      <w:spacing w:before="0" w:after="240" w:line="240" w:lineRule="auto"/>
      <w:ind w:left="1440" w:hanging="360"/>
      <w:jc w:val="both"/>
      <w:outlineLvl w:val="9"/>
    </w:pPr>
    <w:rPr>
      <w:rFonts w:ascii="Times New Roman" w:eastAsia="Times New Roman" w:hAnsi="Times New Roman" w:cs="Times New Roman"/>
      <w:color w:val="auto"/>
      <w:sz w:val="24"/>
      <w:szCs w:val="20"/>
    </w:rPr>
  </w:style>
  <w:style w:type="paragraph" w:customStyle="1" w:styleId="NumPar4">
    <w:name w:val="NumPar 4"/>
    <w:basedOn w:val="Heading4"/>
    <w:next w:val="Normal"/>
    <w:pPr>
      <w:keepNext w:val="0"/>
      <w:keepLines w:val="0"/>
      <w:numPr>
        <w:ilvl w:val="3"/>
        <w:numId w:val="2"/>
      </w:numPr>
      <w:tabs>
        <w:tab w:val="clear" w:pos="1920"/>
        <w:tab w:val="num" w:pos="360"/>
      </w:tabs>
      <w:spacing w:before="0" w:after="240" w:line="240" w:lineRule="auto"/>
      <w:ind w:left="0" w:firstLine="0"/>
      <w:jc w:val="both"/>
      <w:outlineLvl w:val="9"/>
    </w:pPr>
    <w:rPr>
      <w:rFonts w:ascii="Times New Roman" w:eastAsia="Times New Roman" w:hAnsi="Times New Roman" w:cs="Times New Roman"/>
      <w:i w:val="0"/>
      <w:iCs w:val="0"/>
      <w:color w:val="auto"/>
      <w:sz w:val="24"/>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0Body">
    <w:name w:val="0 Body"/>
    <w:basedOn w:val="Normal"/>
    <w:link w:val="0BodyChar"/>
    <w:qFormat/>
    <w:pPr>
      <w:spacing w:after="240" w:line="240" w:lineRule="auto"/>
      <w:jc w:val="both"/>
    </w:pPr>
    <w:rPr>
      <w:rFonts w:ascii="Verdana" w:eastAsia="Times New Roman" w:hAnsi="Verdana" w:cs="Times New Roman"/>
      <w:sz w:val="20"/>
      <w:szCs w:val="20"/>
    </w:rPr>
  </w:style>
  <w:style w:type="character" w:customStyle="1" w:styleId="0BodyChar">
    <w:name w:val="0 Body Char"/>
    <w:link w:val="0Body"/>
    <w:rPr>
      <w:rFonts w:ascii="Verdana" w:eastAsia="Times New Roman" w:hAnsi="Verdana" w:cs="Times New Roman"/>
      <w:sz w:val="20"/>
      <w:szCs w:val="20"/>
      <w:lang w:eastAsia="bg-BG"/>
    </w:rPr>
  </w:style>
  <w:style w:type="paragraph" w:styleId="FootnoteText">
    <w:name w:val="footnote text"/>
    <w:basedOn w:val="Normal"/>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Pr>
      <w:vertAlign w:val="superscript"/>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aliases w:val="Char2"/>
    <w:basedOn w:val="Normal"/>
    <w:link w:val="CommentTextChar"/>
    <w:uiPriority w:val="99"/>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style>
  <w:style w:type="character" w:styleId="Hyperlink">
    <w:name w:val="Hyperlink"/>
    <w:basedOn w:val="DefaultParagraphFont"/>
    <w:uiPriority w:val="99"/>
    <w:semiHidden/>
    <w:unhideWhenUsed/>
    <w:rPr>
      <w:color w:val="0000FF"/>
      <w:u w:val="single"/>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GROW H1 Char"/>
    <w:basedOn w:val="DefaultParagraphFont"/>
    <w:link w:val="Heading1"/>
    <w:rPr>
      <w:rFonts w:ascii="Times New Roman" w:eastAsia="Times New Roman" w:hAnsi="Times New Roman" w:cs="Times New Roman"/>
      <w:b/>
      <w:smallCaps/>
      <w:sz w:val="24"/>
      <w:szCs w:val="20"/>
    </w:rPr>
  </w:style>
  <w:style w:type="paragraph" w:customStyle="1" w:styleId="NumPar2">
    <w:name w:val="NumPar 2"/>
    <w:basedOn w:val="Heading2"/>
    <w:next w:val="Normal"/>
    <w:pPr>
      <w:keepNext w:val="0"/>
      <w:keepLines w:val="0"/>
      <w:numPr>
        <w:ilvl w:val="1"/>
        <w:numId w:val="2"/>
      </w:numPr>
      <w:tabs>
        <w:tab w:val="clear" w:pos="1200"/>
      </w:tabs>
      <w:spacing w:before="0" w:after="240" w:line="240" w:lineRule="auto"/>
      <w:ind w:left="1440" w:hanging="360"/>
      <w:jc w:val="both"/>
      <w:outlineLvl w:val="9"/>
    </w:pPr>
    <w:rPr>
      <w:rFonts w:ascii="Times New Roman" w:eastAsia="Times New Roman" w:hAnsi="Times New Roman" w:cs="Times New Roman"/>
      <w:color w:val="auto"/>
      <w:sz w:val="24"/>
      <w:szCs w:val="20"/>
    </w:rPr>
  </w:style>
  <w:style w:type="paragraph" w:customStyle="1" w:styleId="NumPar4">
    <w:name w:val="NumPar 4"/>
    <w:basedOn w:val="Heading4"/>
    <w:next w:val="Normal"/>
    <w:pPr>
      <w:keepNext w:val="0"/>
      <w:keepLines w:val="0"/>
      <w:numPr>
        <w:ilvl w:val="3"/>
        <w:numId w:val="2"/>
      </w:numPr>
      <w:tabs>
        <w:tab w:val="clear" w:pos="1920"/>
        <w:tab w:val="num" w:pos="360"/>
      </w:tabs>
      <w:spacing w:before="0" w:after="240" w:line="240" w:lineRule="auto"/>
      <w:ind w:left="0" w:firstLine="0"/>
      <w:jc w:val="both"/>
      <w:outlineLvl w:val="9"/>
    </w:pPr>
    <w:rPr>
      <w:rFonts w:ascii="Times New Roman" w:eastAsia="Times New Roman" w:hAnsi="Times New Roman" w:cs="Times New Roman"/>
      <w:i w:val="0"/>
      <w:iCs w:val="0"/>
      <w:color w:val="auto"/>
      <w:sz w:val="24"/>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0Body">
    <w:name w:val="0 Body"/>
    <w:basedOn w:val="Normal"/>
    <w:link w:val="0BodyChar"/>
    <w:qFormat/>
    <w:pPr>
      <w:spacing w:after="240" w:line="240" w:lineRule="auto"/>
      <w:jc w:val="both"/>
    </w:pPr>
    <w:rPr>
      <w:rFonts w:ascii="Verdana" w:eastAsia="Times New Roman" w:hAnsi="Verdana" w:cs="Times New Roman"/>
      <w:sz w:val="20"/>
      <w:szCs w:val="20"/>
    </w:rPr>
  </w:style>
  <w:style w:type="character" w:customStyle="1" w:styleId="0BodyChar">
    <w:name w:val="0 Body Char"/>
    <w:link w:val="0Body"/>
    <w:rPr>
      <w:rFonts w:ascii="Verdana" w:eastAsia="Times New Roman" w:hAnsi="Verdana" w:cs="Times New Roman"/>
      <w:sz w:val="20"/>
      <w:szCs w:val="20"/>
      <w:lang w:eastAsia="bg-BG"/>
    </w:rPr>
  </w:style>
  <w:style w:type="paragraph" w:styleId="FootnoteText">
    <w:name w:val="footnote text"/>
    <w:basedOn w:val="Normal"/>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Pr>
      <w:vertAlign w:val="superscript"/>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aliases w:val="Char2"/>
    <w:basedOn w:val="Normal"/>
    <w:link w:val="CommentTextChar"/>
    <w:uiPriority w:val="99"/>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47165">
      <w:bodyDiv w:val="1"/>
      <w:marLeft w:val="0"/>
      <w:marRight w:val="0"/>
      <w:marTop w:val="0"/>
      <w:marBottom w:val="0"/>
      <w:divBdr>
        <w:top w:val="none" w:sz="0" w:space="0" w:color="auto"/>
        <w:left w:val="none" w:sz="0" w:space="0" w:color="auto"/>
        <w:bottom w:val="none" w:sz="0" w:space="0" w:color="auto"/>
        <w:right w:val="none" w:sz="0" w:space="0" w:color="auto"/>
      </w:divBdr>
      <w:divsChild>
        <w:div w:id="327024863">
          <w:marLeft w:val="0"/>
          <w:marRight w:val="0"/>
          <w:marTop w:val="0"/>
          <w:marBottom w:val="0"/>
          <w:divBdr>
            <w:top w:val="none" w:sz="0" w:space="0" w:color="auto"/>
            <w:left w:val="none" w:sz="0" w:space="0" w:color="auto"/>
            <w:bottom w:val="none" w:sz="0" w:space="0" w:color="auto"/>
            <w:right w:val="none" w:sz="0" w:space="0" w:color="auto"/>
          </w:divBdr>
        </w:div>
        <w:div w:id="1861317314">
          <w:marLeft w:val="0"/>
          <w:marRight w:val="0"/>
          <w:marTop w:val="0"/>
          <w:marBottom w:val="0"/>
          <w:divBdr>
            <w:top w:val="none" w:sz="0" w:space="0" w:color="auto"/>
            <w:left w:val="none" w:sz="0" w:space="0" w:color="auto"/>
            <w:bottom w:val="none" w:sz="0" w:space="0" w:color="auto"/>
            <w:right w:val="none" w:sz="0" w:space="0" w:color="auto"/>
          </w:divBdr>
        </w:div>
        <w:div w:id="692463221">
          <w:marLeft w:val="0"/>
          <w:marRight w:val="0"/>
          <w:marTop w:val="0"/>
          <w:marBottom w:val="0"/>
          <w:divBdr>
            <w:top w:val="none" w:sz="0" w:space="0" w:color="auto"/>
            <w:left w:val="none" w:sz="0" w:space="0" w:color="auto"/>
            <w:bottom w:val="none" w:sz="0" w:space="0" w:color="auto"/>
            <w:right w:val="none" w:sz="0" w:space="0" w:color="auto"/>
          </w:divBdr>
        </w:div>
        <w:div w:id="1791120648">
          <w:marLeft w:val="0"/>
          <w:marRight w:val="0"/>
          <w:marTop w:val="0"/>
          <w:marBottom w:val="0"/>
          <w:divBdr>
            <w:top w:val="none" w:sz="0" w:space="0" w:color="auto"/>
            <w:left w:val="none" w:sz="0" w:space="0" w:color="auto"/>
            <w:bottom w:val="none" w:sz="0" w:space="0" w:color="auto"/>
            <w:right w:val="none" w:sz="0" w:space="0" w:color="auto"/>
          </w:divBdr>
        </w:div>
        <w:div w:id="1130395636">
          <w:marLeft w:val="0"/>
          <w:marRight w:val="0"/>
          <w:marTop w:val="0"/>
          <w:marBottom w:val="0"/>
          <w:divBdr>
            <w:top w:val="none" w:sz="0" w:space="0" w:color="auto"/>
            <w:left w:val="none" w:sz="0" w:space="0" w:color="auto"/>
            <w:bottom w:val="none" w:sz="0" w:space="0" w:color="auto"/>
            <w:right w:val="none" w:sz="0" w:space="0" w:color="auto"/>
          </w:divBdr>
        </w:div>
        <w:div w:id="1970236515">
          <w:marLeft w:val="0"/>
          <w:marRight w:val="0"/>
          <w:marTop w:val="0"/>
          <w:marBottom w:val="0"/>
          <w:divBdr>
            <w:top w:val="none" w:sz="0" w:space="0" w:color="auto"/>
            <w:left w:val="none" w:sz="0" w:space="0" w:color="auto"/>
            <w:bottom w:val="none" w:sz="0" w:space="0" w:color="auto"/>
            <w:right w:val="none" w:sz="0" w:space="0" w:color="auto"/>
          </w:divBdr>
        </w:div>
        <w:div w:id="1084304075">
          <w:marLeft w:val="0"/>
          <w:marRight w:val="0"/>
          <w:marTop w:val="0"/>
          <w:marBottom w:val="0"/>
          <w:divBdr>
            <w:top w:val="none" w:sz="0" w:space="0" w:color="auto"/>
            <w:left w:val="none" w:sz="0" w:space="0" w:color="auto"/>
            <w:bottom w:val="none" w:sz="0" w:space="0" w:color="auto"/>
            <w:right w:val="none" w:sz="0" w:space="0" w:color="auto"/>
          </w:divBdr>
        </w:div>
        <w:div w:id="1069882545">
          <w:marLeft w:val="0"/>
          <w:marRight w:val="0"/>
          <w:marTop w:val="0"/>
          <w:marBottom w:val="0"/>
          <w:divBdr>
            <w:top w:val="none" w:sz="0" w:space="0" w:color="auto"/>
            <w:left w:val="none" w:sz="0" w:space="0" w:color="auto"/>
            <w:bottom w:val="none" w:sz="0" w:space="0" w:color="auto"/>
            <w:right w:val="none" w:sz="0" w:space="0" w:color="auto"/>
          </w:divBdr>
        </w:div>
        <w:div w:id="1223641469">
          <w:marLeft w:val="0"/>
          <w:marRight w:val="0"/>
          <w:marTop w:val="0"/>
          <w:marBottom w:val="0"/>
          <w:divBdr>
            <w:top w:val="none" w:sz="0" w:space="0" w:color="auto"/>
            <w:left w:val="none" w:sz="0" w:space="0" w:color="auto"/>
            <w:bottom w:val="none" w:sz="0" w:space="0" w:color="auto"/>
            <w:right w:val="none" w:sz="0" w:space="0" w:color="auto"/>
          </w:divBdr>
        </w:div>
        <w:div w:id="1326206863">
          <w:marLeft w:val="0"/>
          <w:marRight w:val="0"/>
          <w:marTop w:val="0"/>
          <w:marBottom w:val="0"/>
          <w:divBdr>
            <w:top w:val="none" w:sz="0" w:space="0" w:color="auto"/>
            <w:left w:val="none" w:sz="0" w:space="0" w:color="auto"/>
            <w:bottom w:val="none" w:sz="0" w:space="0" w:color="auto"/>
            <w:right w:val="none" w:sz="0" w:space="0" w:color="auto"/>
          </w:divBdr>
        </w:div>
        <w:div w:id="1366829615">
          <w:marLeft w:val="0"/>
          <w:marRight w:val="0"/>
          <w:marTop w:val="0"/>
          <w:marBottom w:val="0"/>
          <w:divBdr>
            <w:top w:val="none" w:sz="0" w:space="0" w:color="auto"/>
            <w:left w:val="none" w:sz="0" w:space="0" w:color="auto"/>
            <w:bottom w:val="none" w:sz="0" w:space="0" w:color="auto"/>
            <w:right w:val="none" w:sz="0" w:space="0" w:color="auto"/>
          </w:divBdr>
        </w:div>
        <w:div w:id="1543326996">
          <w:marLeft w:val="0"/>
          <w:marRight w:val="0"/>
          <w:marTop w:val="0"/>
          <w:marBottom w:val="0"/>
          <w:divBdr>
            <w:top w:val="none" w:sz="0" w:space="0" w:color="auto"/>
            <w:left w:val="none" w:sz="0" w:space="0" w:color="auto"/>
            <w:bottom w:val="none" w:sz="0" w:space="0" w:color="auto"/>
            <w:right w:val="none" w:sz="0" w:space="0" w:color="auto"/>
          </w:divBdr>
        </w:div>
      </w:divsChild>
    </w:div>
    <w:div w:id="679550433">
      <w:bodyDiv w:val="1"/>
      <w:marLeft w:val="0"/>
      <w:marRight w:val="0"/>
      <w:marTop w:val="0"/>
      <w:marBottom w:val="0"/>
      <w:divBdr>
        <w:top w:val="none" w:sz="0" w:space="0" w:color="auto"/>
        <w:left w:val="none" w:sz="0" w:space="0" w:color="auto"/>
        <w:bottom w:val="none" w:sz="0" w:space="0" w:color="auto"/>
        <w:right w:val="none" w:sz="0" w:space="0" w:color="auto"/>
      </w:divBdr>
      <w:divsChild>
        <w:div w:id="1418987845">
          <w:marLeft w:val="0"/>
          <w:marRight w:val="0"/>
          <w:marTop w:val="0"/>
          <w:marBottom w:val="0"/>
          <w:divBdr>
            <w:top w:val="none" w:sz="0" w:space="0" w:color="auto"/>
            <w:left w:val="none" w:sz="0" w:space="0" w:color="auto"/>
            <w:bottom w:val="none" w:sz="0" w:space="0" w:color="auto"/>
            <w:right w:val="none" w:sz="0" w:space="0" w:color="auto"/>
          </w:divBdr>
        </w:div>
        <w:div w:id="747121584">
          <w:marLeft w:val="0"/>
          <w:marRight w:val="0"/>
          <w:marTop w:val="0"/>
          <w:marBottom w:val="0"/>
          <w:divBdr>
            <w:top w:val="none" w:sz="0" w:space="0" w:color="auto"/>
            <w:left w:val="none" w:sz="0" w:space="0" w:color="auto"/>
            <w:bottom w:val="none" w:sz="0" w:space="0" w:color="auto"/>
            <w:right w:val="none" w:sz="0" w:space="0" w:color="auto"/>
          </w:divBdr>
        </w:div>
        <w:div w:id="519853625">
          <w:marLeft w:val="0"/>
          <w:marRight w:val="0"/>
          <w:marTop w:val="0"/>
          <w:marBottom w:val="0"/>
          <w:divBdr>
            <w:top w:val="none" w:sz="0" w:space="0" w:color="auto"/>
            <w:left w:val="none" w:sz="0" w:space="0" w:color="auto"/>
            <w:bottom w:val="none" w:sz="0" w:space="0" w:color="auto"/>
            <w:right w:val="none" w:sz="0" w:space="0" w:color="auto"/>
          </w:divBdr>
        </w:div>
        <w:div w:id="1929000172">
          <w:marLeft w:val="0"/>
          <w:marRight w:val="0"/>
          <w:marTop w:val="0"/>
          <w:marBottom w:val="0"/>
          <w:divBdr>
            <w:top w:val="none" w:sz="0" w:space="0" w:color="auto"/>
            <w:left w:val="none" w:sz="0" w:space="0" w:color="auto"/>
            <w:bottom w:val="none" w:sz="0" w:space="0" w:color="auto"/>
            <w:right w:val="none" w:sz="0" w:space="0" w:color="auto"/>
          </w:divBdr>
        </w:div>
        <w:div w:id="1198397488">
          <w:marLeft w:val="0"/>
          <w:marRight w:val="0"/>
          <w:marTop w:val="0"/>
          <w:marBottom w:val="0"/>
          <w:divBdr>
            <w:top w:val="none" w:sz="0" w:space="0" w:color="auto"/>
            <w:left w:val="none" w:sz="0" w:space="0" w:color="auto"/>
            <w:bottom w:val="none" w:sz="0" w:space="0" w:color="auto"/>
            <w:right w:val="none" w:sz="0" w:space="0" w:color="auto"/>
          </w:divBdr>
        </w:div>
        <w:div w:id="2024432659">
          <w:marLeft w:val="0"/>
          <w:marRight w:val="0"/>
          <w:marTop w:val="0"/>
          <w:marBottom w:val="0"/>
          <w:divBdr>
            <w:top w:val="none" w:sz="0" w:space="0" w:color="auto"/>
            <w:left w:val="none" w:sz="0" w:space="0" w:color="auto"/>
            <w:bottom w:val="none" w:sz="0" w:space="0" w:color="auto"/>
            <w:right w:val="none" w:sz="0" w:space="0" w:color="auto"/>
          </w:divBdr>
        </w:div>
        <w:div w:id="1184129950">
          <w:marLeft w:val="0"/>
          <w:marRight w:val="0"/>
          <w:marTop w:val="0"/>
          <w:marBottom w:val="0"/>
          <w:divBdr>
            <w:top w:val="none" w:sz="0" w:space="0" w:color="auto"/>
            <w:left w:val="none" w:sz="0" w:space="0" w:color="auto"/>
            <w:bottom w:val="none" w:sz="0" w:space="0" w:color="auto"/>
            <w:right w:val="none" w:sz="0" w:space="0" w:color="auto"/>
          </w:divBdr>
        </w:div>
        <w:div w:id="1159492364">
          <w:marLeft w:val="0"/>
          <w:marRight w:val="0"/>
          <w:marTop w:val="0"/>
          <w:marBottom w:val="0"/>
          <w:divBdr>
            <w:top w:val="none" w:sz="0" w:space="0" w:color="auto"/>
            <w:left w:val="none" w:sz="0" w:space="0" w:color="auto"/>
            <w:bottom w:val="none" w:sz="0" w:space="0" w:color="auto"/>
            <w:right w:val="none" w:sz="0" w:space="0" w:color="auto"/>
          </w:divBdr>
        </w:div>
        <w:div w:id="1073816710">
          <w:marLeft w:val="0"/>
          <w:marRight w:val="0"/>
          <w:marTop w:val="0"/>
          <w:marBottom w:val="0"/>
          <w:divBdr>
            <w:top w:val="none" w:sz="0" w:space="0" w:color="auto"/>
            <w:left w:val="none" w:sz="0" w:space="0" w:color="auto"/>
            <w:bottom w:val="none" w:sz="0" w:space="0" w:color="auto"/>
            <w:right w:val="none" w:sz="0" w:space="0" w:color="auto"/>
          </w:divBdr>
        </w:div>
        <w:div w:id="911504581">
          <w:marLeft w:val="0"/>
          <w:marRight w:val="0"/>
          <w:marTop w:val="0"/>
          <w:marBottom w:val="0"/>
          <w:divBdr>
            <w:top w:val="none" w:sz="0" w:space="0" w:color="auto"/>
            <w:left w:val="none" w:sz="0" w:space="0" w:color="auto"/>
            <w:bottom w:val="none" w:sz="0" w:space="0" w:color="auto"/>
            <w:right w:val="none" w:sz="0" w:space="0" w:color="auto"/>
          </w:divBdr>
        </w:div>
        <w:div w:id="1443304354">
          <w:marLeft w:val="0"/>
          <w:marRight w:val="0"/>
          <w:marTop w:val="0"/>
          <w:marBottom w:val="0"/>
          <w:divBdr>
            <w:top w:val="none" w:sz="0" w:space="0" w:color="auto"/>
            <w:left w:val="none" w:sz="0" w:space="0" w:color="auto"/>
            <w:bottom w:val="none" w:sz="0" w:space="0" w:color="auto"/>
            <w:right w:val="none" w:sz="0" w:space="0" w:color="auto"/>
          </w:divBdr>
        </w:div>
      </w:divsChild>
    </w:div>
    <w:div w:id="711684816">
      <w:bodyDiv w:val="1"/>
      <w:marLeft w:val="0"/>
      <w:marRight w:val="0"/>
      <w:marTop w:val="0"/>
      <w:marBottom w:val="0"/>
      <w:divBdr>
        <w:top w:val="none" w:sz="0" w:space="0" w:color="auto"/>
        <w:left w:val="none" w:sz="0" w:space="0" w:color="auto"/>
        <w:bottom w:val="none" w:sz="0" w:space="0" w:color="auto"/>
        <w:right w:val="none" w:sz="0" w:space="0" w:color="auto"/>
      </w:divBdr>
    </w:div>
    <w:div w:id="928462708">
      <w:bodyDiv w:val="1"/>
      <w:marLeft w:val="0"/>
      <w:marRight w:val="0"/>
      <w:marTop w:val="0"/>
      <w:marBottom w:val="0"/>
      <w:divBdr>
        <w:top w:val="none" w:sz="0" w:space="0" w:color="auto"/>
        <w:left w:val="none" w:sz="0" w:space="0" w:color="auto"/>
        <w:bottom w:val="none" w:sz="0" w:space="0" w:color="auto"/>
        <w:right w:val="none" w:sz="0" w:space="0" w:color="auto"/>
      </w:divBdr>
    </w:div>
    <w:div w:id="1100371708">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640918372">
      <w:bodyDiv w:val="1"/>
      <w:marLeft w:val="0"/>
      <w:marRight w:val="0"/>
      <w:marTop w:val="0"/>
      <w:marBottom w:val="0"/>
      <w:divBdr>
        <w:top w:val="none" w:sz="0" w:space="0" w:color="auto"/>
        <w:left w:val="none" w:sz="0" w:space="0" w:color="auto"/>
        <w:bottom w:val="none" w:sz="0" w:space="0" w:color="auto"/>
        <w:right w:val="none" w:sz="0" w:space="0" w:color="auto"/>
      </w:divBdr>
    </w:div>
    <w:div w:id="1785541354">
      <w:bodyDiv w:val="1"/>
      <w:marLeft w:val="0"/>
      <w:marRight w:val="0"/>
      <w:marTop w:val="0"/>
      <w:marBottom w:val="0"/>
      <w:divBdr>
        <w:top w:val="none" w:sz="0" w:space="0" w:color="auto"/>
        <w:left w:val="none" w:sz="0" w:space="0" w:color="auto"/>
        <w:bottom w:val="none" w:sz="0" w:space="0" w:color="auto"/>
        <w:right w:val="none" w:sz="0" w:space="0" w:color="auto"/>
      </w:divBdr>
    </w:div>
    <w:div w:id="1829401220">
      <w:bodyDiv w:val="1"/>
      <w:marLeft w:val="0"/>
      <w:marRight w:val="0"/>
      <w:marTop w:val="0"/>
      <w:marBottom w:val="0"/>
      <w:divBdr>
        <w:top w:val="none" w:sz="0" w:space="0" w:color="auto"/>
        <w:left w:val="none" w:sz="0" w:space="0" w:color="auto"/>
        <w:bottom w:val="none" w:sz="0" w:space="0" w:color="auto"/>
        <w:right w:val="none" w:sz="0" w:space="0" w:color="auto"/>
      </w:divBdr>
    </w:div>
    <w:div w:id="18391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eur-lex.europa.eu/legal-content/BG/TXT/HTML/?uri=CELEX:32013R1286&amp;from=B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2e66423e-a4e6-4f9c-8c07-6bdbd9408a0f">EN</EC_Collab_DocumentLanguage>
    <Topic xmlns="2e66423e-a4e6-4f9c-8c07-6bdbd9408a0f">
      <Value>Midterm Evaluation</Value>
    </Topic>
    <Meeting_x0020_date xmlns="2e66423e-a4e6-4f9c-8c07-6bdbd9408a0f" xsi:nil="true"/>
    <EC_Collab_Status xmlns="2e66423e-a4e6-4f9c-8c07-6bdbd9408a0f">Not Started</EC_Collab_Status>
    <EC_Collab_Reference xmlns="2e66423e-a4e6-4f9c-8c07-6bdbd9408a0f" xsi:nil="true"/>
    <Budget_x0020_Year xmlns="2e66423e-a4e6-4f9c-8c07-6bdbd9408a0f" xsi:nil="true"/>
    <Programme xmlns="2e66423e-a4e6-4f9c-8c07-6bdbd9408a0f">Fiscalis</Programm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FFE06BD03081E4B8084BA8EA1CE3582" ma:contentTypeVersion="6" ma:contentTypeDescription="Create a new document in this library." ma:contentTypeScope="" ma:versionID="4a330234375b321ae18a0df45602944d">
  <xsd:schema xmlns:xsd="http://www.w3.org/2001/XMLSchema" xmlns:xs="http://www.w3.org/2001/XMLSchema" xmlns:p="http://schemas.microsoft.com/office/2006/metadata/properties" xmlns:ns3="2e66423e-a4e6-4f9c-8c07-6bdbd9408a0f" targetNamespace="http://schemas.microsoft.com/office/2006/metadata/properties" ma:root="true" ma:fieldsID="e928f8a04c1c9b5364291105c926001f" ns3:_="">
    <xsd:import namespace="2e66423e-a4e6-4f9c-8c07-6bdbd9408a0f"/>
    <xsd:element name="properties">
      <xsd:complexType>
        <xsd:sequence>
          <xsd:element name="documentManagement">
            <xsd:complexType>
              <xsd:all>
                <xsd:element ref="ns3:EC_Collab_Reference" minOccurs="0"/>
                <xsd:element ref="ns3:EC_Collab_DocumentLanguage"/>
                <xsd:element ref="ns3:EC_Collab_Status"/>
                <xsd:element ref="ns3:Programme" minOccurs="0"/>
                <xsd:element ref="ns3:Topic" minOccurs="0"/>
                <xsd:element ref="ns3:Budget_x0020_Year"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6423e-a4e6-4f9c-8c07-6bdbd9408a0f" elementFormDefault="qualified">
    <xsd:import namespace="http://schemas.microsoft.com/office/2006/documentManagement/types"/>
    <xsd:import namespace="http://schemas.microsoft.com/office/infopath/2007/PartnerControls"/>
    <xsd:element name="EC_Collab_Reference" ma:index="10" nillable="true" ma:displayName="Reference" ma:internalName="EC_Collab_Reference">
      <xsd:simpleType>
        <xsd:restriction base="dms:Text"/>
      </xsd:simpleType>
    </xsd:element>
    <xsd:element name="EC_Collab_DocumentLanguage" ma:index="11"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2"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Programme" ma:index="13" nillable="true" ma:displayName="Programme" ma:default="Customs" ma:description="Select one keyword" ma:format="Dropdown" ma:internalName="Programme">
      <xsd:simpleType>
        <xsd:restriction base="dms:Choice">
          <xsd:enumeration value="Customs"/>
          <xsd:enumeration value="Fiscalis"/>
          <xsd:enumeration value="Common"/>
        </xsd:restriction>
      </xsd:simpleType>
    </xsd:element>
    <xsd:element name="Topic" ma:index="14" nillable="true" ma:displayName="Topic" ma:default="Programming" ma:description="Choose topic: multiple choice is possible" ma:internalName="Topic">
      <xsd:complexType>
        <xsd:complexContent>
          <xsd:extension base="dms:MultiChoice">
            <xsd:sequence>
              <xsd:element name="Value" maxOccurs="unbounded" minOccurs="0" nillable="true">
                <xsd:simpleType>
                  <xsd:restriction base="dms:Choice">
                    <xsd:enumeration value="Programming"/>
                    <xsd:enumeration value="Performance Measurement"/>
                    <xsd:enumeration value="Implementation"/>
                    <xsd:enumeration value="IT System"/>
                    <xsd:enumeration value="PCG"/>
                    <xsd:enumeration value="Midterm Evaluation"/>
                    <xsd:enumeration value="New Programme"/>
                  </xsd:restriction>
                </xsd:simpleType>
              </xsd:element>
            </xsd:sequence>
          </xsd:extension>
        </xsd:complexContent>
      </xsd:complexType>
    </xsd:element>
    <xsd:element name="Budget_x0020_Year" ma:index="15" nillable="true" ma:displayName="Budget Year" ma:description="Indicate year in 4 digits (if applicable)" ma:internalName="Budget_x0020_Year">
      <xsd:simpleType>
        <xsd:restriction base="dms:Text">
          <xsd:maxLength value="255"/>
        </xsd:restriction>
      </xsd:simpleType>
    </xsd:element>
    <xsd:element name="Meeting_x0020_date" ma:index="16"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96F9B6-B082-478A-ADEF-285F91E9FCA0}">
  <ds:schemaRef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2e66423e-a4e6-4f9c-8c07-6bdbd9408a0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DE8F152-511E-4930-958D-804AB915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6423e-a4e6-4f9c-8c07-6bdbd9408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49689-E363-4335-B84E-16235EFCAAE9}">
  <ds:schemaRefs>
    <ds:schemaRef ds:uri="http://schemas.microsoft.com/sharepoint/v3/contenttype/forms"/>
  </ds:schemaRefs>
</ds:datastoreItem>
</file>

<file path=customXml/itemProps4.xml><?xml version="1.0" encoding="utf-8"?>
<ds:datastoreItem xmlns:ds="http://schemas.openxmlformats.org/officeDocument/2006/customXml" ds:itemID="{98FEB99B-2672-43EA-A3C1-1FC46B78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10</Pages>
  <Words>3895</Words>
  <Characters>23921</Characters>
  <Application>Microsoft Office Word</Application>
  <DocSecurity>0</DocSecurity>
  <Lines>385</Lines>
  <Paragraphs>50</Paragraphs>
  <ScaleCrop>false</ScaleCrop>
  <HeadingPairs>
    <vt:vector size="2" baseType="variant">
      <vt:variant>
        <vt:lpstr>Title</vt:lpstr>
      </vt:variant>
      <vt:variant>
        <vt:i4>1</vt:i4>
      </vt:variant>
    </vt:vector>
  </HeadingPairs>
  <TitlesOfParts>
    <vt:vector size="1" baseType="lpstr">
      <vt:lpstr>Commission Report Fiscalis 2020 midterm evaluation</vt:lpstr>
    </vt:vector>
  </TitlesOfParts>
  <Manager/>
  <Company/>
  <LinksUpToDate>false</LinksUpToDate>
  <CharactersWithSpaces>27766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Report Fiscalis 2020 midterm evaluation</dc:title>
  <dc:creator/>
  <cp:lastModifiedBy>DIGIT/C6</cp:lastModifiedBy>
  <cp:revision>70</cp:revision>
  <cp:lastPrinted>2018-10-25T08:34:00Z</cp:lastPrinted>
  <dcterms:created xsi:type="dcterms:W3CDTF">2018-11-15T15:24:00Z</dcterms:created>
  <dcterms:modified xsi:type="dcterms:W3CDTF">2019-01-29T07:14:00Z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0x010100258AA79CEB83498886A3A08681123250008FFE06BD03081E4B8084BA8EA1CE3582</vt:lpwstr>
  </property>
</Properties>
</file>