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96747018-65B1-4186-AF2C-01B42DFDF6AF" style="width:450.45pt;height:420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Arial Unicode MS"/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rPr>
          <w:rFonts w:eastAsia="Arial Unicode MS"/>
          <w:noProof/>
        </w:rPr>
      </w:pPr>
      <w:r>
        <w:rPr>
          <w:noProof/>
        </w:rPr>
        <w:t>Настоящото предложение е относно решението за установяване на позицията, която да се заеме от името на Европейския съюз в рамките на Комитета по СИП, създаден по силата на Временното споразумение за създаване на рамка за Споразумение за икономическо партньорство между държавите от Източна и Южна Африка, от една страна, и Европейската общност и нейните държави членки, от друга страна, във връзка с предвиденото приемане на решение за изменение на някои разпоредби на Протокол 1 към Споразумението.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Временното споразумение за създаване на рамка за Споразумение за икономическо партньорство между държавите от Източна и Южна Африка, от една страна, и Европейската общност и нейните държави членки, от друга страна.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Временното споразумение за създаване на рамка за Споразумение за икономическо партньорство между държавите от Източна и Южна Африка, от една страна, и Европейската общност и нейните държави членки, от друга страна („Споразумението“), има за цел а) да позволи на държавите от Източна и Южна Африка („ИЮА“) да се ползват от по-добър достъп до пазара, предоставен от Европейския съюз („ЕС“); б) да насърчи устойчивото икономическо развитие и постепенното интегриране на държавите от ИЮА в световната икономика; в) да създаде зони за свободна търговия между Европейския съюз и държавите от ИЮА на основата на взаимния интерес чрез поетапна либерализация на търговията по начин, съответстващ на приложимите правила на СТО и принципа на асиметричния подход, като се вземат предвид специфичните нужди и ограниченията по отношение на капацитета на държавите от ИЮА, що се отнася до равнището на ангажиментите и предвидения график за изпълнението им; г) да установи подходящите механизми за уреждане на спорове; и д) да установи подходящите институционални договорености. </w:t>
      </w:r>
    </w:p>
    <w:p>
      <w:pPr>
        <w:rPr>
          <w:noProof/>
        </w:rPr>
      </w:pPr>
      <w:r>
        <w:rPr>
          <w:noProof/>
        </w:rPr>
        <w:t>На 13 юли 2009 г. ЕС подписа Споразумението</w:t>
      </w:r>
      <w:r>
        <w:rPr>
          <w:rStyle w:val="FootnoteReference"/>
          <w:noProof/>
        </w:rPr>
        <w:footnoteReference w:id="1"/>
      </w:r>
      <w:r>
        <w:rPr>
          <w:noProof/>
        </w:rPr>
        <w:t>, което се прилага временно от Мадагаскар, Мавриций, Сейшелските острови и Зимбабве, считано от 14 май 2012 г.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Комитетът по СИП</w:t>
      </w:r>
    </w:p>
    <w:p>
      <w:pPr>
        <w:rPr>
          <w:noProof/>
        </w:rPr>
      </w:pPr>
      <w:r>
        <w:rPr>
          <w:noProof/>
        </w:rPr>
        <w:t xml:space="preserve">Комитетът по СИП е орган, създаден в съответствие с член 64 от Споразумението. Той се състои от представители на ЕС и на държавите от ИЮА (Мадагаскар, Мавриций, Сейшелските острови и Зимбабве). Комитетът по СИП приема свой процедурен правилник и се председателства съвместно от представител на ЕС и представител на държавите от ИЮА. 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Комитетът по СИП се занимава с всички въпроси, от значение за прилагането на Споразумението, включително сътрудничеството за развитие. В изпълнението на своите функции Комитетът по СИП може а) да създава всякакви специални комитети или органи, необходими за прилагането на Споразумението, и да упражнява надзор над тях; б) да заседава по всяко време, за което страните са постигнали съгласие; в) да </w:t>
      </w:r>
      <w:r>
        <w:rPr>
          <w:noProof/>
        </w:rPr>
        <w:lastRenderedPageBreak/>
        <w:t>разглежда всякакви въпроси, попадащи в приложното поле на Споразумението, и да предприема подходящи действия при изпълнението на функциите си; г) да взема решения или да отправя препоръки в случаите, предвидени в Споразумението, и д) да приема изменения на Споразумението, включително на списъка на подписалите Споразумението държави от ИЮА, изброени в приложение II, и на разпоредбите на Протокол 1.</w:t>
      </w:r>
    </w:p>
    <w:p>
      <w:pPr>
        <w:rPr>
          <w:rFonts w:eastAsia="Arial Unicode MS"/>
          <w:noProof/>
        </w:rPr>
      </w:pPr>
      <w:r>
        <w:rPr>
          <w:noProof/>
        </w:rPr>
        <w:t>Комитетът по СИП може да преразгледа Споразумението, неговото прилагане, действие и резултати, когато това е необходимо, и да отправи до страните подходящи предложения за изменението му.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Предвиденият акт на Комитета</w:t>
      </w:r>
    </w:p>
    <w:p>
      <w:pPr>
        <w:rPr>
          <w:rFonts w:eastAsia="Arial Unicode MS"/>
          <w:noProof/>
        </w:rPr>
      </w:pPr>
      <w:r>
        <w:rPr>
          <w:noProof/>
        </w:rPr>
        <w:t>На своето осмо заседание през май/юни 2019 г. Комитетът по СИП трябва да приеме решение във връзка с изменението на някои разпоредби на Протокол 1 относно определението на понятието „продукти с произход“ и методите на административно сътрудничество („предвиденият акт“).</w:t>
      </w:r>
    </w:p>
    <w:p>
      <w:pPr>
        <w:rPr>
          <w:rFonts w:eastAsia="Arial Unicode MS"/>
          <w:noProof/>
        </w:rPr>
      </w:pPr>
      <w:r>
        <w:rPr>
          <w:noProof/>
        </w:rPr>
        <w:t>Целта на предвидения акт е да актуализира разпоредбите относно правилата за произход, като ги приведе в съответствие с последните нововъведения, и да предостави на икономическите оператори опростени и по-гъвкави правила за произход чрез приемане на следните изменения:</w:t>
      </w:r>
    </w:p>
    <w:p>
      <w:pPr>
        <w:pStyle w:val="Bullet0"/>
        <w:numPr>
          <w:ilvl w:val="0"/>
          <w:numId w:val="12"/>
        </w:numPr>
        <w:rPr>
          <w:rFonts w:eastAsia="Arial Unicode MS"/>
          <w:noProof/>
        </w:rPr>
      </w:pPr>
      <w:r>
        <w:rPr>
          <w:noProof/>
        </w:rPr>
        <w:t>Поправка на член 6, параграф 2 от Протокол 1 към Споразумението относно определението на понятията „техни плавателни съдове“ и „техни кораби фабрики“;</w:t>
      </w:r>
    </w:p>
    <w:p>
      <w:pPr>
        <w:pStyle w:val="Bullet0"/>
        <w:numPr>
          <w:ilvl w:val="0"/>
          <w:numId w:val="11"/>
        </w:numPr>
        <w:rPr>
          <w:noProof/>
        </w:rPr>
      </w:pPr>
      <w:r>
        <w:rPr>
          <w:noProof/>
        </w:rPr>
        <w:t xml:space="preserve">Въвеждане на нов член 13, наименуван „Счетоводно разделяне“, в дял III от Протокол 1 към Споразумението, за да се позволи на икономическите оператори да спестят разходи чрез използването на този метод за управление на стоково-материалните запаси; </w:t>
      </w:r>
    </w:p>
    <w:p>
      <w:pPr>
        <w:pStyle w:val="Bullet0"/>
        <w:rPr>
          <w:noProof/>
        </w:rPr>
      </w:pPr>
      <w:r>
        <w:rPr>
          <w:noProof/>
        </w:rPr>
        <w:t>Замяна на член 14 „Директен транспорт“ с нов член 15, наименуван „Забрана за преправяне“, за да се позволи повече гъвкавост на икономическите оператори във връзка с доказателствата, които да се представят на митническите органи на държавата вносител, когато в трета държава се извършва претоварване или митническо складиране на стоки с произход;</w:t>
      </w:r>
    </w:p>
    <w:p>
      <w:pPr>
        <w:pStyle w:val="Bullet0"/>
        <w:rPr>
          <w:noProof/>
        </w:rPr>
      </w:pPr>
      <w:r>
        <w:rPr>
          <w:noProof/>
        </w:rPr>
        <w:t>Въвеждане на нов член 17 в дял III от Протокол 1 към Споразумението, за да се позволи на икономическите оператори да превозват захар с различен произход, без да съхраняват захарта в отделни складове;</w:t>
      </w:r>
    </w:p>
    <w:p>
      <w:pPr>
        <w:pStyle w:val="Bullet0"/>
        <w:rPr>
          <w:noProof/>
        </w:rPr>
      </w:pPr>
      <w:r>
        <w:rPr>
          <w:noProof/>
        </w:rPr>
        <w:t>Изменение на член 16 от дял IV от Протокол 1 към Споразумението, който сега се преномерира като член 18, с цел да се позволи повече гъвкавост на икономическите оператори при спазване на изискванията за доказателствата за произход;</w:t>
      </w:r>
    </w:p>
    <w:p>
      <w:pPr>
        <w:pStyle w:val="Bullet0"/>
        <w:rPr>
          <w:noProof/>
        </w:rPr>
      </w:pPr>
      <w:r>
        <w:rPr>
          <w:noProof/>
        </w:rPr>
        <w:t>Изменения на приложение II към Протокол 1, за да се отразят актуализациите от 1 януари 2012 г. и 1 януари 2017 г. в Номенклатурата, основана на Конвенцията за Хармонизирана система за описание и кодиране на стоките („Хармонизираната система“) на Световната митническа организация. Посочените изменения не променят правилата за произход. Променени или актуализирани позиции по ХС: ex глава 12, ex1211, ex121190, ex3002, 4104— 4106, 4107, 4109 (заличена), ex4114, 8485 (заличена), ex8486 и 8487;</w:t>
      </w:r>
    </w:p>
    <w:p>
      <w:pPr>
        <w:pStyle w:val="Bullet0"/>
        <w:rPr>
          <w:noProof/>
        </w:rPr>
      </w:pPr>
      <w:r>
        <w:rPr>
          <w:noProof/>
        </w:rPr>
        <w:lastRenderedPageBreak/>
        <w:t>След присъединяването на Хърватия към ЕС е необходимо приложение IV към Протокол 1 да бъде изменено, за да се добави текстът на хърватски език на фигуриращата в приложение IV декларация;</w:t>
      </w:r>
    </w:p>
    <w:p>
      <w:pPr>
        <w:pStyle w:val="Bullet0"/>
        <w:rPr>
          <w:noProof/>
        </w:rPr>
      </w:pPr>
      <w:r>
        <w:rPr>
          <w:noProof/>
        </w:rPr>
        <w:t>Изменение на приложение IХ към Протокол 1 към Споразумението, в което са изброени отвъдморските страни и територии на ЕС, за да се отразят промените в списъка с отвъдморски страни и територии в съответствие с приложение II към ДФЕС предвид неотдавнашната промяна в статута на някои от териториите в списъка; така ще се улесни прилагането на разпоредбите относно кумулацията на произхода.</w:t>
      </w:r>
    </w:p>
    <w:p>
      <w:pPr>
        <w:rPr>
          <w:rFonts w:eastAsia="Arial Unicode MS"/>
          <w:noProof/>
        </w:rPr>
      </w:pPr>
      <w:r>
        <w:rPr>
          <w:noProof/>
        </w:rPr>
        <w:t>Предвид броя на промените, които ще бъдат направени в Протокол 1 към Споразумението и приложенията към него, и с оглед на постигане на по-голяма яснота, е нужно протоколът да бъде изцяло заменен.</w:t>
      </w:r>
    </w:p>
    <w:p>
      <w:pPr>
        <w:pStyle w:val="ManualHeading1"/>
        <w:rPr>
          <w:rFonts w:eastAsia="Arial Unicode MS"/>
          <w:noProof/>
        </w:rPr>
      </w:pPr>
      <w:r>
        <w:t>3.</w:t>
      </w:r>
      <w:r>
        <w:tab/>
      </w:r>
      <w:r>
        <w:rPr>
          <w:noProof/>
        </w:rPr>
        <w:t>Позиция, която да се заеме от името на Съюза</w:t>
      </w:r>
    </w:p>
    <w:p>
      <w:pPr>
        <w:rPr>
          <w:rFonts w:eastAsia="Arial Unicode MS"/>
          <w:noProof/>
          <w:color w:val="000000"/>
        </w:rPr>
      </w:pPr>
      <w:r>
        <w:rPr>
          <w:noProof/>
          <w:color w:val="000000"/>
        </w:rPr>
        <w:t>Протокол 1 относно определението на понятието „продукти с произход“ и методите на административно сътрудничество бе сключен през 2007 г. Някои от разпоредбите на първоначалния Протокол 1 не са в крак с последните нововъведения при правилата за произход, което пречи да се усвои пълната полза от преференциалното третиране, предоставено съгласно Споразумението. Благодарение на измененията изпълнението на изискванията и процедурите във връзка с правилата за произход ще се опрости и ще стане по-гъвкаво. Това опростяване ще улесни търговията и ще оптимизира използването на преференциалното третиране за икономическите оператори. Освен това, като улесняват операторите да изпълняват правилата за произход, предложените изменения ще насърчат регионалната интеграция и икономическото развитие в държавите от ИЮА.</w:t>
      </w:r>
    </w:p>
    <w:p>
      <w:pPr>
        <w:rPr>
          <w:rFonts w:eastAsia="Arial Unicode MS"/>
          <w:noProof/>
          <w:color w:val="000000"/>
        </w:rPr>
      </w:pPr>
      <w:r>
        <w:rPr>
          <w:noProof/>
          <w:color w:val="000000"/>
        </w:rPr>
        <w:t>Измененията на позициите и описанията на продуктите от приложение II към Протокол 1 към Споразумението са необходими, за да се отчетат актуализациите, внесени от СМО в изданията на Номенклатурата на ХС от 2012 и 2017 г., и за осигуряване на съгласуваност на описанията на продуктите и класирането им по ХС с Хармонизираната система.</w:t>
      </w:r>
    </w:p>
    <w:p>
      <w:pPr>
        <w:rPr>
          <w:rFonts w:eastAsia="Arial Unicode MS"/>
          <w:noProof/>
          <w:color w:val="000000"/>
        </w:rPr>
      </w:pPr>
      <w:r>
        <w:rPr>
          <w:noProof/>
          <w:color w:val="000000"/>
        </w:rPr>
        <w:t>И накрая, в приложение IХ към Протокол 1 към Споразумението са изброени отвъдморските страни и територии на ЕС. По смисъла на Протокола „отвъдморски страни и територии“ са страните и териториите, посочени в приложение II към Договора за функционирането на Европейския съюз. Списъкът следва да бъде актуализиран, за да се отчете неотдавнашната промяна в статута на някои от отвъдморските страни и територии.</w:t>
      </w:r>
    </w:p>
    <w:p>
      <w:pPr>
        <w:rPr>
          <w:rFonts w:eastAsia="Arial Unicode MS"/>
          <w:noProof/>
          <w:color w:val="000000"/>
        </w:rPr>
      </w:pPr>
      <w:r>
        <w:rPr>
          <w:noProof/>
          <w:color w:val="000000"/>
        </w:rPr>
        <w:t>Предложеното решение изпълнява задълженията на ЕС съгласно разпоредбите на Споразумението.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 xml:space="preserve">В член 218, параграф 9 от Договора за функционирането на Европейския съюз (ДФЕС)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</w:t>
      </w:r>
      <w:r>
        <w:rPr>
          <w:noProof/>
        </w:rPr>
        <w:lastRenderedPageBreak/>
        <w:t>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>
      <w:pPr>
        <w:rPr>
          <w:noProof/>
        </w:rPr>
      </w:pPr>
      <w:r>
        <w:rPr>
          <w:noProof/>
        </w:rPr>
        <w:t>Понятието „актове с правно действие“ включва актове с правно действие по силата на нормите на международното право, които уреждат съответния орган. То включва и инструменти, които нямат обвързващ характер съгласно международното право, но са „годни да окажат съществено въздействие върху съдържанието на приеманата от законодателя на Съюза нормативна уредба“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Прилагане в конкретния случай</w:t>
      </w:r>
    </w:p>
    <w:p>
      <w:pPr>
        <w:rPr>
          <w:noProof/>
        </w:rPr>
      </w:pPr>
      <w:r>
        <w:rPr>
          <w:noProof/>
        </w:rPr>
        <w:t>Актът, който Комитетът има за задача да приеме, представлява акт с правно действие и ще бъде обвързващ съгласно международното право в съответствие с членове 13, 64 и 68 от Споразумението. Предвиденият акт не допълва, нито изменя институционалната рамка на Споразумението.</w:t>
      </w:r>
    </w:p>
    <w:p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 218, параграф 9 от ДФЕС.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 218, параграф 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Прилагане в конкретния случай</w:t>
      </w:r>
    </w:p>
    <w:p>
      <w:pPr>
        <w:rPr>
          <w:noProof/>
        </w:rPr>
      </w:pPr>
      <w:r>
        <w:rPr>
          <w:noProof/>
        </w:rPr>
        <w:t>Основната цел и основното съдържание на предвидения акт са свързани с общата търговска политика.</w:t>
      </w:r>
    </w:p>
    <w:p>
      <w:pPr>
        <w:rPr>
          <w:i/>
          <w:noProof/>
        </w:rPr>
      </w:pPr>
      <w:r>
        <w:rPr>
          <w:noProof/>
        </w:rPr>
        <w:t>Поради това материалноправното основание за предложеното решение е член 207 от ДФЕС.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на предложеното решение следва да бъде член 207 от ДФЕС във връзка с член 218, параграф 9 от ДФЕС.</w:t>
      </w:r>
    </w:p>
    <w:p>
      <w:pPr>
        <w:pStyle w:val="ManualHeading1"/>
        <w:rPr>
          <w:noProof/>
        </w:rPr>
      </w:pPr>
      <w:r>
        <w:t>5.</w:t>
      </w:r>
      <w:r>
        <w:tab/>
      </w:r>
      <w:r>
        <w:rPr>
          <w:noProof/>
        </w:rPr>
        <w:t>Публикуване на предвидения акт</w:t>
      </w:r>
    </w:p>
    <w:p>
      <w:pPr>
        <w:rPr>
          <w:noProof/>
        </w:rPr>
      </w:pPr>
      <w:r>
        <w:rPr>
          <w:noProof/>
        </w:rPr>
        <w:t xml:space="preserve">Тъй като с акта на Комитета по СИП ще бъде изменено Временното споразумение за създаване на рамка за Споразумение за икономическо партньорство между държавите от Източна и Южна Африка, от една страна, и Европейската общност и нейните държави членки, от друга страна, е целесъобразно след приемането му той да бъде публикуван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2019/0029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да се заеме от името на Европейския съюз в рамките на Комитета по СИП, създаден по силата на Временното споразумение за създаване на рамка за Споразумение за икономическо партньорство между държавите от Източна и Южна Африка, от една страна, и Европейската общност и нейните държави членки, от друга страна, във връзка с изменението на някои разпоредби на Протокол 1 относно определението на понятието „продукти с произход“ и методите на административно сътрудничество</w:t>
      </w:r>
    </w:p>
    <w:p>
      <w:pPr>
        <w:pStyle w:val="Institutionquiagit"/>
        <w:rPr>
          <w:b/>
          <w:noProof/>
        </w:rPr>
      </w:pPr>
      <w:r>
        <w:rPr>
          <w:b/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207 във връзка с член 218, параграф 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Временното споразумение за създаване на рамка за Споразумение за икономическо партньорство между държавите от Източна и Южна Африка, от една страна, и Европейската общност и нейните държави членки, от друга страна („Споразумението“), беше сключено от Съюза с Решение 2012/196/ЕО на Съвета от 13 юли 2009 г.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и започна да се прилага временно на 14 май 2012 г.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Съгласно членове 13 и 68 от Споразумението и член 44 от Протокол 1 към Споразумението Комитетът по СИП може да приема изменения на разпоредбите на Протокол 1 към Споразумението.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По време на осмата си сесия/осмото си заседание на *май/юни 2019 г.* Комитетът трябва да приеме решение за изменение на някои разпоредби на Протокол 1 относно определението на понятието „продукти с произход“ и методите на административно сътрудничество.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Тъй като решението ще бъде обвързващо за Съюза, е целесъобразно да се установи позицията, която да се заеме от името на Съюза в рамките на Комитета по СИП.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 xml:space="preserve">Необходимо е някои разпоредби на Протокол 1 относно определението на понятието „продукти с произход“ и методите на административно сътрудничество да бъдат изменени, за да се актуализират правилата за произход предвид последните нововъведения, така че правилата за произход да станат по-гъвкави и опростени с цел улесняване на търговията за икономическите оператори и по-оптимизирано използване на преференциалното третиране. 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 xml:space="preserve">Измененията на позициите и описанията на продуктите от приложение II към Протокол 1 към Споразумението са необходими, за да се отчетат актуализациите, внесени от СМО в изданията на Номенклатурата на ХС от 2012 </w:t>
      </w:r>
      <w:r>
        <w:rPr>
          <w:noProof/>
        </w:rPr>
        <w:lastRenderedPageBreak/>
        <w:t>и 2017 г., и за осигуряване на съгласуваност на описанията на продуктите и класирането им по ХС с Хармонизираната система.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В приложение IХ към Протокол 1 към Споразумението са изброени отвъдморските страни и територии на ЕС. По смисъла на Протокола „отвъдморски страни и територии“ са страните и териториите, посочени в приложение II към Договора за функционирането на Европейския съюз. Списъкът следва да бъде актуализиран, за да се отчете неотдавнашната промяна в статута на някои от отвъдморските страни и територии,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jc w:val="left"/>
        <w:rPr>
          <w:i/>
          <w:noProof/>
        </w:rPr>
      </w:pPr>
      <w:r>
        <w:rPr>
          <w:noProof/>
        </w:rPr>
        <w:t>Позицията, която да се заеме от името на Съюза на осмото заседание на Комитета по СИП, се основава на приложения към настоящото решение проект на акт на Комитета.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Адресат на настоящото решение е Комисията.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ind w:left="142" w:hanging="142"/>
      </w:pPr>
      <w:r>
        <w:rPr>
          <w:rStyle w:val="FootnoteReference"/>
        </w:rPr>
        <w:footnoteRef/>
      </w:r>
      <w:r>
        <w:tab/>
        <w:t>Решение на Съвета от 13 юли 2009 г. за подписване и временно прилагане на временното Споразумение за създаване на рамка за Споразумение за икономическо партньорство между държавите от Източна и Южна Африка, от една страна, и Европейската общност и нейните държави членки, от друга страна (OВ L 111, 24.4.2012 г., стр. 1–1172).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на Съда на Европейския съюз от 7 октомври 2014 г., Германия/Съвет, C-399/12, ECLI:EU:C:2014:2258, т. 61—64. </w:t>
      </w:r>
    </w:p>
  </w:footnote>
  <w:footnote w:id="3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ОВ L 111, 24.4.2012 г., стр. 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B4E52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0725F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D5E84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494EC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AEE806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6D41B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75688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03E9C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8"/>
  </w:num>
  <w:num w:numId="14">
    <w:abstractNumId w:val="12"/>
  </w:num>
  <w:num w:numId="15">
    <w:abstractNumId w:val="20"/>
  </w:num>
  <w:num w:numId="16">
    <w:abstractNumId w:val="11"/>
  </w:num>
  <w:num w:numId="17">
    <w:abstractNumId w:val="13"/>
  </w:num>
  <w:num w:numId="18">
    <w:abstractNumId w:val="9"/>
  </w:num>
  <w:num w:numId="19">
    <w:abstractNumId w:val="19"/>
  </w:num>
  <w:num w:numId="20">
    <w:abstractNumId w:val="8"/>
  </w:num>
  <w:num w:numId="21">
    <w:abstractNumId w:val="14"/>
  </w:num>
  <w:num w:numId="22">
    <w:abstractNumId w:val="16"/>
  </w:num>
  <w:num w:numId="23">
    <w:abstractNumId w:val="17"/>
  </w:num>
  <w:num w:numId="24">
    <w:abstractNumId w:val="10"/>
  </w:num>
  <w:num w:numId="25">
    <w:abstractNumId w:val="15"/>
  </w:num>
  <w:num w:numId="26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2-04 09:13:16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96747018-65B1-4186-AF2C-01B42DFDF6AF"/>
    <w:docVar w:name="LW_COVERPAGE_TYPE" w:val="1"/>
    <w:docVar w:name="LW_CROSSREFERENCE" w:val="&lt;UNUSED&gt;"/>
    <w:docVar w:name="LW_DocType" w:val="COM"/>
    <w:docVar w:name="LW_EMISSION" w:val="7.2.2019"/>
    <w:docVar w:name="LW_EMISSION_ISODATE" w:val="2019-02-07"/>
    <w:docVar w:name="LW_EMISSION_LOCATION" w:val="BRX"/>
    <w:docVar w:name="LW_EMISSION_PREFIX" w:val="Брюксел, "/>
    <w:docVar w:name="LW_EMISSION_SUFFIX" w:val=" \u1075?.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29"/>
    <w:docVar w:name="LW_REF.II.NEW.CP_YEAR" w:val="2019"/>
    <w:docVar w:name="LW_REF.INST.NEW" w:val="COM"/>
    <w:docVar w:name="LW_REF.INST.NEW_ADOPTED" w:val="final"/>
    <w:docVar w:name="LW_REF.INST.NEW_TEXT" w:val="(2019) 5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87?\u1086? \u1057?\u1048?\u1055?, \u1089?\u1098?\u1079?\u1076?\u1072?\u1076?\u1077?\u1085? \u1087?\u1086? \u1089?\u1080?\u1083?\u1072?\u1090?\u1072? \u1085?\u1072? \u1042?\u1088?\u1077?\u1084?\u1077?\u1085?\u1085?\u1086?\u1090?\u1086? \u1089?\u1087?\u1086?\u1088?\u1072?\u1079?\u1091?\u1084?\u1077?\u1085?\u1080?\u1077? \u1079?\u1072? \u1089?\u1098?\u1079?\u1076?\u1072?\u1074?\u1072?\u1085?\u1077? \u1085?\u1072? \u1088?\u1072?\u1084?\u1082?\u1072? \u1079?\u1072? \u1057?\u1087?\u1086?\u1088?\u1072?\u1079?\u1091?\u1084?\u1077?\u1085?\u1080?\u1077? \u1079?\u1072? \u1080?\u1082?\u1086?\u1085?\u1086?\u1084?\u1080?\u1095?\u1077?\u1089?\u1082?\u1086? \u1087?\u1072?\u1088?\u1090?\u1085?\u1100?\u1086?\u1088?\u1089?\u1090?\u1074?\u1086? \u1084?\u1077?\u1078?\u1076?\u1091? \u1076?\u1098?\u1088?\u1078?\u1072?\u1074?\u1080?\u1090?\u1077? \u1086?\u1090? \u1048?\u1079?\u1090?\u1086?\u1095?\u1085?\u1072? \u1080? \u1070?\u1078?\u1085?\u1072? \u1040?\u1092?\u1088?\u1080?\u1082?\u1072?, \u1086?\u1090? \u1077?\u1076?\u1085?\u1072? \u1089?\u1090?\u1088?\u1072?\u1085?\u1072?, \u1080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6?\u1088?\u1091?\u1075?\u1072? \u1089?\u1090?\u1088?\u1072?\u1085?\u1072?, \u1074?\u1098?\u1074? \u1074?\u1088?\u1098?\u1079?\u1082?\u1072? \u1089? \u1080?\u1079?\u1084?\u1077?\u1085?\u1077?\u1085?\u1080?\u1077?\u1090?\u1086? \u1085?\u1072? \u1085?\u1103?\u1082?\u1086?\u1080? \u1088?\u1072?\u1079?\u1087?\u1086?\u1088?\u1077?\u1076?\u1073?\u1080? \u1085?\u1072? \u1055?\u1088?\u1086?\u1090?\u1086?\u1082?\u1086?\u1083? 1 \u1086?\u1090?\u1085?\u1086?\u1089?\u1085?\u1086? \u1086?\u1087?\u1088?\u1077?\u1076?\u1077?\u1083?\u1077?\u1085?\u1080?\u1077?\u1090?\u1086? \u1085?\u1072? \u1087?\u1086?\u1085?\u1103?\u1090?\u1080?\u1077?\u1090?\u1086? \u8222?\u1087?\u1088?\u1086?\u1076?\u1091?\u1082?\u1090?\u1080? \u1089? \u1087?\u1088?\u1086?\u1080?\u1079?\u1093?\u1086?\u1076?\u8220? \u1080? \u1084?\u1077?\u1090?\u1086?\u1076?\u1080?\u1090?\u1077? \u1085?\u1072? \u1072?\u1076?\u1084?\u1080?\u1085?\u1080?\u1089?\u1090?\u1088?\u1072?\u1090?\u1080?\u1074?\u1085?\u1086? \u1089?\u1098?\u1090?\u1088?\u1091?\u1076?\u1085?\u1080?\u1095?\u1077?\u1089?\u1090?\u1074?\u1086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3"/>
      </w:numPr>
    </w:pPr>
  </w:style>
  <w:style w:type="paragraph" w:customStyle="1" w:styleId="Tiret1">
    <w:name w:val="Tiret 1"/>
    <w:basedOn w:val="Point1"/>
    <w:pPr>
      <w:numPr>
        <w:numId w:val="14"/>
      </w:numPr>
    </w:pPr>
  </w:style>
  <w:style w:type="paragraph" w:customStyle="1" w:styleId="Tiret2">
    <w:name w:val="Tiret 2"/>
    <w:basedOn w:val="Point2"/>
    <w:pPr>
      <w:numPr>
        <w:numId w:val="15"/>
      </w:numPr>
    </w:pPr>
  </w:style>
  <w:style w:type="paragraph" w:customStyle="1" w:styleId="Tiret3">
    <w:name w:val="Tiret 3"/>
    <w:basedOn w:val="Point3"/>
    <w:pPr>
      <w:numPr>
        <w:numId w:val="16"/>
      </w:numPr>
    </w:pPr>
  </w:style>
  <w:style w:type="paragraph" w:customStyle="1" w:styleId="Tiret4">
    <w:name w:val="Tiret 4"/>
    <w:basedOn w:val="Point4"/>
    <w:pPr>
      <w:numPr>
        <w:numId w:val="1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0"/>
      </w:numPr>
    </w:pPr>
  </w:style>
  <w:style w:type="paragraph" w:customStyle="1" w:styleId="Point1number">
    <w:name w:val="Point 1 (number)"/>
    <w:basedOn w:val="Normal"/>
    <w:pPr>
      <w:numPr>
        <w:ilvl w:val="2"/>
        <w:numId w:val="20"/>
      </w:numPr>
    </w:pPr>
  </w:style>
  <w:style w:type="paragraph" w:customStyle="1" w:styleId="Point2number">
    <w:name w:val="Point 2 (number)"/>
    <w:basedOn w:val="Normal"/>
    <w:pPr>
      <w:numPr>
        <w:ilvl w:val="4"/>
        <w:numId w:val="20"/>
      </w:numPr>
    </w:pPr>
  </w:style>
  <w:style w:type="paragraph" w:customStyle="1" w:styleId="Point3number">
    <w:name w:val="Point 3 (number)"/>
    <w:basedOn w:val="Normal"/>
    <w:pPr>
      <w:numPr>
        <w:ilvl w:val="6"/>
        <w:numId w:val="20"/>
      </w:numPr>
    </w:pPr>
  </w:style>
  <w:style w:type="paragraph" w:customStyle="1" w:styleId="Point0letter">
    <w:name w:val="Point 0 (letter)"/>
    <w:basedOn w:val="Normal"/>
    <w:pPr>
      <w:numPr>
        <w:ilvl w:val="1"/>
        <w:numId w:val="20"/>
      </w:numPr>
    </w:pPr>
  </w:style>
  <w:style w:type="paragraph" w:customStyle="1" w:styleId="Point1letter">
    <w:name w:val="Point 1 (letter)"/>
    <w:basedOn w:val="Normal"/>
    <w:pPr>
      <w:numPr>
        <w:ilvl w:val="3"/>
        <w:numId w:val="20"/>
      </w:numPr>
    </w:pPr>
  </w:style>
  <w:style w:type="paragraph" w:customStyle="1" w:styleId="Point2letter">
    <w:name w:val="Point 2 (letter)"/>
    <w:basedOn w:val="Normal"/>
    <w:pPr>
      <w:numPr>
        <w:ilvl w:val="5"/>
        <w:numId w:val="20"/>
      </w:numPr>
    </w:pPr>
  </w:style>
  <w:style w:type="paragraph" w:customStyle="1" w:styleId="Point3letter">
    <w:name w:val="Point 3 (letter)"/>
    <w:basedOn w:val="Normal"/>
    <w:pPr>
      <w:numPr>
        <w:ilvl w:val="7"/>
        <w:numId w:val="20"/>
      </w:numPr>
    </w:pPr>
  </w:style>
  <w:style w:type="paragraph" w:customStyle="1" w:styleId="Point4letter">
    <w:name w:val="Point 4 (letter)"/>
    <w:basedOn w:val="Normal"/>
    <w:pPr>
      <w:numPr>
        <w:ilvl w:val="8"/>
        <w:numId w:val="20"/>
      </w:numPr>
    </w:pPr>
  </w:style>
  <w:style w:type="paragraph" w:customStyle="1" w:styleId="Bullet0">
    <w:name w:val="Bullet 0"/>
    <w:basedOn w:val="Normal"/>
    <w:pPr>
      <w:numPr>
        <w:numId w:val="21"/>
      </w:numPr>
    </w:pPr>
  </w:style>
  <w:style w:type="paragraph" w:customStyle="1" w:styleId="Bullet1">
    <w:name w:val="Bullet 1"/>
    <w:basedOn w:val="Normal"/>
    <w:pPr>
      <w:numPr>
        <w:numId w:val="22"/>
      </w:numPr>
    </w:pPr>
  </w:style>
  <w:style w:type="paragraph" w:customStyle="1" w:styleId="Bullet2">
    <w:name w:val="Bullet 2"/>
    <w:basedOn w:val="Normal"/>
    <w:pPr>
      <w:numPr>
        <w:numId w:val="23"/>
      </w:numPr>
    </w:pPr>
  </w:style>
  <w:style w:type="paragraph" w:customStyle="1" w:styleId="Bullet3">
    <w:name w:val="Bullet 3"/>
    <w:basedOn w:val="Normal"/>
    <w:pPr>
      <w:numPr>
        <w:numId w:val="24"/>
      </w:numPr>
    </w:pPr>
  </w:style>
  <w:style w:type="paragraph" w:customStyle="1" w:styleId="Bullet4">
    <w:name w:val="Bullet 4"/>
    <w:basedOn w:val="Normal"/>
    <w:pPr>
      <w:numPr>
        <w:numId w:val="2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3"/>
      </w:numPr>
    </w:pPr>
  </w:style>
  <w:style w:type="paragraph" w:customStyle="1" w:styleId="Tiret1">
    <w:name w:val="Tiret 1"/>
    <w:basedOn w:val="Point1"/>
    <w:pPr>
      <w:numPr>
        <w:numId w:val="14"/>
      </w:numPr>
    </w:pPr>
  </w:style>
  <w:style w:type="paragraph" w:customStyle="1" w:styleId="Tiret2">
    <w:name w:val="Tiret 2"/>
    <w:basedOn w:val="Point2"/>
    <w:pPr>
      <w:numPr>
        <w:numId w:val="15"/>
      </w:numPr>
    </w:pPr>
  </w:style>
  <w:style w:type="paragraph" w:customStyle="1" w:styleId="Tiret3">
    <w:name w:val="Tiret 3"/>
    <w:basedOn w:val="Point3"/>
    <w:pPr>
      <w:numPr>
        <w:numId w:val="16"/>
      </w:numPr>
    </w:pPr>
  </w:style>
  <w:style w:type="paragraph" w:customStyle="1" w:styleId="Tiret4">
    <w:name w:val="Tiret 4"/>
    <w:basedOn w:val="Point4"/>
    <w:pPr>
      <w:numPr>
        <w:numId w:val="1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0"/>
      </w:numPr>
    </w:pPr>
  </w:style>
  <w:style w:type="paragraph" w:customStyle="1" w:styleId="Point1number">
    <w:name w:val="Point 1 (number)"/>
    <w:basedOn w:val="Normal"/>
    <w:pPr>
      <w:numPr>
        <w:ilvl w:val="2"/>
        <w:numId w:val="20"/>
      </w:numPr>
    </w:pPr>
  </w:style>
  <w:style w:type="paragraph" w:customStyle="1" w:styleId="Point2number">
    <w:name w:val="Point 2 (number)"/>
    <w:basedOn w:val="Normal"/>
    <w:pPr>
      <w:numPr>
        <w:ilvl w:val="4"/>
        <w:numId w:val="20"/>
      </w:numPr>
    </w:pPr>
  </w:style>
  <w:style w:type="paragraph" w:customStyle="1" w:styleId="Point3number">
    <w:name w:val="Point 3 (number)"/>
    <w:basedOn w:val="Normal"/>
    <w:pPr>
      <w:numPr>
        <w:ilvl w:val="6"/>
        <w:numId w:val="20"/>
      </w:numPr>
    </w:pPr>
  </w:style>
  <w:style w:type="paragraph" w:customStyle="1" w:styleId="Point0letter">
    <w:name w:val="Point 0 (letter)"/>
    <w:basedOn w:val="Normal"/>
    <w:pPr>
      <w:numPr>
        <w:ilvl w:val="1"/>
        <w:numId w:val="20"/>
      </w:numPr>
    </w:pPr>
  </w:style>
  <w:style w:type="paragraph" w:customStyle="1" w:styleId="Point1letter">
    <w:name w:val="Point 1 (letter)"/>
    <w:basedOn w:val="Normal"/>
    <w:pPr>
      <w:numPr>
        <w:ilvl w:val="3"/>
        <w:numId w:val="20"/>
      </w:numPr>
    </w:pPr>
  </w:style>
  <w:style w:type="paragraph" w:customStyle="1" w:styleId="Point2letter">
    <w:name w:val="Point 2 (letter)"/>
    <w:basedOn w:val="Normal"/>
    <w:pPr>
      <w:numPr>
        <w:ilvl w:val="5"/>
        <w:numId w:val="20"/>
      </w:numPr>
    </w:pPr>
  </w:style>
  <w:style w:type="paragraph" w:customStyle="1" w:styleId="Point3letter">
    <w:name w:val="Point 3 (letter)"/>
    <w:basedOn w:val="Normal"/>
    <w:pPr>
      <w:numPr>
        <w:ilvl w:val="7"/>
        <w:numId w:val="20"/>
      </w:numPr>
    </w:pPr>
  </w:style>
  <w:style w:type="paragraph" w:customStyle="1" w:styleId="Point4letter">
    <w:name w:val="Point 4 (letter)"/>
    <w:basedOn w:val="Normal"/>
    <w:pPr>
      <w:numPr>
        <w:ilvl w:val="8"/>
        <w:numId w:val="20"/>
      </w:numPr>
    </w:pPr>
  </w:style>
  <w:style w:type="paragraph" w:customStyle="1" w:styleId="Bullet0">
    <w:name w:val="Bullet 0"/>
    <w:basedOn w:val="Normal"/>
    <w:pPr>
      <w:numPr>
        <w:numId w:val="21"/>
      </w:numPr>
    </w:pPr>
  </w:style>
  <w:style w:type="paragraph" w:customStyle="1" w:styleId="Bullet1">
    <w:name w:val="Bullet 1"/>
    <w:basedOn w:val="Normal"/>
    <w:pPr>
      <w:numPr>
        <w:numId w:val="22"/>
      </w:numPr>
    </w:pPr>
  </w:style>
  <w:style w:type="paragraph" w:customStyle="1" w:styleId="Bullet2">
    <w:name w:val="Bullet 2"/>
    <w:basedOn w:val="Normal"/>
    <w:pPr>
      <w:numPr>
        <w:numId w:val="23"/>
      </w:numPr>
    </w:pPr>
  </w:style>
  <w:style w:type="paragraph" w:customStyle="1" w:styleId="Bullet3">
    <w:name w:val="Bullet 3"/>
    <w:basedOn w:val="Normal"/>
    <w:pPr>
      <w:numPr>
        <w:numId w:val="24"/>
      </w:numPr>
    </w:pPr>
  </w:style>
  <w:style w:type="paragraph" w:customStyle="1" w:styleId="Bullet4">
    <w:name w:val="Bullet 4"/>
    <w:basedOn w:val="Normal"/>
    <w:pPr>
      <w:numPr>
        <w:numId w:val="2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93E8BEC-51E3-4417-8C98-AA5AD5B8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7</Pages>
  <Words>2083</Words>
  <Characters>11814</Characters>
  <Application>Microsoft Office Word</Application>
  <DocSecurity>0</DocSecurity>
  <Lines>227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18</cp:revision>
  <dcterms:created xsi:type="dcterms:W3CDTF">2019-01-29T14:25:00Z</dcterms:created>
  <dcterms:modified xsi:type="dcterms:W3CDTF">2019-02-04T08:13:00Z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6.0.100.0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