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217BD91F-6544-47A8-A63F-1C6D23CCB0CD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0" w:name="_GoBack"/>
      <w:bookmarkEnd w:id="0"/>
    </w:p>
    <w:p>
      <w:pPr>
        <w:pStyle w:val="Annexetitre"/>
        <w:rPr>
          <w:noProof/>
        </w:rPr>
      </w:pPr>
      <w:r>
        <w:rPr>
          <w:noProof/>
        </w:rPr>
        <w:t>ПРИЛОЖЕНИЕ</w:t>
      </w:r>
    </w:p>
    <w:p>
      <w:pPr>
        <w:rPr>
          <w:noProof/>
        </w:rPr>
      </w:pPr>
    </w:p>
    <w:p>
      <w:pPr>
        <w:pStyle w:val="Heading1"/>
        <w:numPr>
          <w:ilvl w:val="0"/>
          <w:numId w:val="1"/>
        </w:numPr>
        <w:rPr>
          <w:noProof/>
        </w:rPr>
      </w:pPr>
      <w:r>
        <w:rPr>
          <w:noProof/>
        </w:rPr>
        <w:t xml:space="preserve">ЦЕЛИ </w:t>
      </w:r>
    </w:p>
    <w:p>
      <w:pPr>
        <w:rPr>
          <w:noProof/>
        </w:rPr>
      </w:pPr>
      <w:r>
        <w:rPr>
          <w:noProof/>
        </w:rPr>
        <w:t>Комисията следва, в хода на преговорите, да се стреми да постигне специфичните цели, изложени подробно по-долу, като същевременно гарантира, че резултатът от преговорите е съвместим с вътрешните правила на ЕС относно електронните доказателства, включително с техните промени в хода на законодателната процедура и с окончателната версия, в която са приети. Тези вътрешни правила ще служат като изходна точка за преговорната позиция на Съюза.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Да се определят общи правила и да се намери решение на стълкновенията на закони във връзка със заповеди за получаване на електронни доказателства под формата на данни за съдържанието и несвързани със съдържанието данни, издадени от съдебен орган на едната договаряща се страна и адресирани до доставчик на услуги, спрямо когото се прилага правото на другата договаряща се страна. Това следва да намали риска от фрагментиране на практиките и правните правила и да доведе до повишаване на правната сигурност между Съюза и Съединените американски щати при получаването на електронни доказателства в наказателните производства.</w:t>
      </w:r>
    </w:p>
    <w:p>
      <w:pPr>
        <w:pStyle w:val="NumPar1"/>
        <w:rPr>
          <w:noProof/>
        </w:rPr>
      </w:pPr>
      <w:r>
        <w:rPr>
          <w:noProof/>
        </w:rPr>
        <w:t>Да се позволи предаването на електронни доказателства непосредствено на реципрочна основа от доставчик на услуги на органа, отправящ искането, както е посочено в параграф 1.</w:t>
      </w:r>
    </w:p>
    <w:p>
      <w:pPr>
        <w:pStyle w:val="NumPar1"/>
        <w:rPr>
          <w:noProof/>
        </w:rPr>
      </w:pPr>
      <w:r>
        <w:rPr>
          <w:noProof/>
        </w:rPr>
        <w:t>Да се гарантира зачитането на основните права, свободите и общите принципи на правото на Съюза, залегнали в Договорите за Европейския съюз и Хартата на основните права, включително пропорционалността, процесуалните права, презумпцията за невиновност и правата на защита на лицата, срещу които са образувани наказателни производства, както и на неприкосновеността на личния живот и защитата на личните данни и данните за съобщенията, когато тези данни се обработват, включително при предаването на данни на правоприлагащи органи в трети държави, и на всички задължения, възложени на правоприлагащите и съдебните органи в това отношение.</w:t>
      </w:r>
    </w:p>
    <w:p>
      <w:pPr>
        <w:rPr>
          <w:noProof/>
        </w:rPr>
      </w:pPr>
      <w:r>
        <w:rPr>
          <w:noProof/>
        </w:rPr>
        <w:t>За да бъдат постигнати целите, посочени в част 1, в споразумението следва да бъдат разгледани по-специално следните елементи:</w:t>
      </w:r>
    </w:p>
    <w:p>
      <w:pPr>
        <w:pStyle w:val="Heading1"/>
        <w:rPr>
          <w:noProof/>
        </w:rPr>
      </w:pPr>
      <w:r>
        <w:rPr>
          <w:noProof/>
        </w:rPr>
        <w:t>ЕСТЕСТВО И ОБХВАТ НА СПОРАЗУМЕНИЕТО</w:t>
      </w:r>
    </w:p>
    <w:p>
      <w:pPr>
        <w:pStyle w:val="NumPar1"/>
        <w:rPr>
          <w:noProof/>
        </w:rPr>
      </w:pPr>
      <w:r>
        <w:rPr>
          <w:noProof/>
        </w:rPr>
        <w:t xml:space="preserve">Споразумението следва да се прилага относно наказателни производства, които включват както досъдебна, така и съдебна фаза. </w:t>
      </w:r>
    </w:p>
    <w:p>
      <w:pPr>
        <w:pStyle w:val="NumPar1"/>
        <w:rPr>
          <w:noProof/>
        </w:rPr>
      </w:pPr>
      <w:r>
        <w:rPr>
          <w:noProof/>
        </w:rPr>
        <w:t>Споразумението следва да създаде реципрочни права и задължения на страните.</w:t>
      </w:r>
    </w:p>
    <w:p>
      <w:pPr>
        <w:pStyle w:val="NumPar1"/>
        <w:rPr>
          <w:noProof/>
        </w:rPr>
      </w:pPr>
      <w:r>
        <w:rPr>
          <w:noProof/>
        </w:rPr>
        <w:t>В споразумението следва да се посочат определенията и видовете на данните, които трябва да попадат в неговото приложно поле, включително данните за съдържание и несвързаните със съдържанието данни.</w:t>
      </w:r>
    </w:p>
    <w:p>
      <w:pPr>
        <w:pStyle w:val="NumPar1"/>
        <w:rPr>
          <w:noProof/>
        </w:rPr>
      </w:pPr>
      <w:r>
        <w:rPr>
          <w:noProof/>
        </w:rPr>
        <w:t>В споразумението следва да бъде определено неговото точно приложно поле във връзка с обхванатите престъпления и праговете.</w:t>
      </w:r>
    </w:p>
    <w:p>
      <w:pPr>
        <w:pStyle w:val="NumPar1"/>
        <w:rPr>
          <w:noProof/>
        </w:rPr>
      </w:pPr>
      <w:r>
        <w:rPr>
          <w:noProof/>
        </w:rPr>
        <w:lastRenderedPageBreak/>
        <w:t xml:space="preserve">В споразумението следва да бъдат определени условията, които трябва да бъдат изпълнени, преди съдебният орган да може да издаде заповед, и начините, по които заповедта може да бъде връчена. </w:t>
      </w:r>
    </w:p>
    <w:p>
      <w:pPr>
        <w:pStyle w:val="NumPar1"/>
        <w:rPr>
          <w:noProof/>
        </w:rPr>
      </w:pPr>
      <w:r>
        <w:rPr>
          <w:noProof/>
        </w:rPr>
        <w:t xml:space="preserve">Споразумението следва да включва клауза, която да осигурява ефективни съдебни средства за защита за субектите на данни в хода на наказателното производство. В споразумението следва също да се определи при какви обстоятелства даден доставчик на услуги има право на възражение срещу заповед. </w:t>
      </w:r>
    </w:p>
    <w:p>
      <w:pPr>
        <w:pStyle w:val="NumPar1"/>
        <w:rPr>
          <w:noProof/>
        </w:rPr>
      </w:pPr>
      <w:r>
        <w:rPr>
          <w:noProof/>
        </w:rPr>
        <w:t xml:space="preserve">В споразумението следва да бъде определен срокът за предоставяне на данните, които са предмет на заповедта. </w:t>
      </w:r>
    </w:p>
    <w:p>
      <w:pPr>
        <w:pStyle w:val="NumPar1"/>
        <w:rPr>
          <w:noProof/>
        </w:rPr>
      </w:pPr>
      <w:r>
        <w:rPr>
          <w:noProof/>
        </w:rPr>
        <w:t xml:space="preserve">То не следва да засяга други съществуващи международни споразумения в областта на съдебното сътрудничество по наказателноправни въпроси между органите, като например Споразумението за правна взаимопомощ между ЕС и САЩ. </w:t>
      </w:r>
    </w:p>
    <w:p>
      <w:pPr>
        <w:pStyle w:val="NumPar1"/>
        <w:rPr>
          <w:noProof/>
        </w:rPr>
      </w:pPr>
      <w:r>
        <w:rPr>
          <w:noProof/>
        </w:rPr>
        <w:t>Споразумението следва да има предимство в двустранните отношения между Съюза и Съединените американски щати пред Конвенцията на Съвета на Европа за престъпленията в кибернетичното пространство, както и всяка спогодба или договореност, постигната при преговорите по Втория допълнителен протокол към Конвенцията на Съвета на Европа за престъпленията в кибернетичното пространство, доколкото разпоредбите на тази спогодба или договореност уреждат въпроси, които са предмет на споразумението.</w:t>
      </w:r>
    </w:p>
    <w:p>
      <w:pPr>
        <w:pStyle w:val="Heading1"/>
        <w:rPr>
          <w:noProof/>
        </w:rPr>
      </w:pPr>
      <w:r>
        <w:rPr>
          <w:noProof/>
        </w:rPr>
        <w:t>ГАРАНЦИИ</w:t>
      </w:r>
    </w:p>
    <w:p>
      <w:pPr>
        <w:pStyle w:val="NumPar1"/>
        <w:rPr>
          <w:noProof/>
        </w:rPr>
      </w:pPr>
      <w:r>
        <w:rPr>
          <w:noProof/>
        </w:rPr>
        <w:t xml:space="preserve">Споразумението следва да бъде реципрочно по отношение на категориите лица, чиито данни не трябва да бъдат искани съгласно него. Споразумението не следва да дискриминира между лица от различни държави членки.  </w:t>
      </w:r>
    </w:p>
    <w:p>
      <w:pPr>
        <w:pStyle w:val="NumPar1"/>
        <w:rPr>
          <w:noProof/>
        </w:rPr>
      </w:pPr>
      <w:r>
        <w:rPr>
          <w:noProof/>
        </w:rPr>
        <w:t xml:space="preserve">В споразумението следва да се направи позоваване на приложимостта на Споразумението между ЕС и САЩ относно защитата на данните и неприкосновеността на личния живот, известно като „Рамковото споразумение“, което влезе в сила на 1 февруари 2017 г. </w:t>
      </w:r>
    </w:p>
    <w:p>
      <w:pPr>
        <w:pStyle w:val="NumPar1"/>
        <w:rPr>
          <w:noProof/>
        </w:rPr>
      </w:pPr>
      <w:r>
        <w:rPr>
          <w:noProof/>
        </w:rPr>
        <w:t xml:space="preserve">Споразумението следва да допълни Рамковото споразумение с допълнителни гаранции, които отчитат степента на чувствителност на съответните категории данни и специфичните изисквания на предаването на електронни доказателства непосредствено от доставчици на услуги, а не между органи. </w:t>
      </w:r>
    </w:p>
    <w:p>
      <w:pPr>
        <w:pStyle w:val="NumPar1"/>
        <w:rPr>
          <w:noProof/>
        </w:rPr>
      </w:pPr>
      <w:r>
        <w:rPr>
          <w:noProof/>
        </w:rPr>
        <w:t>Допълнителните гаранции за защита на данните и неприкосновеността на личния живот, които трябва да бъдат преразгледани в зависимост от обхвата на споразумението, следва да включват наред с другото: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Определянето на целите, за които лични данни и данни за електронни съобщения могат да бъдат поискани и предадени.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Изискването заповедта да е ограничена до личните данни и данните за електронни съобщения, които са необходими и пропорционални по отношение на целите, за които се осъществява достъп до тях.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Изискването, че за разкриването на данни на други органи на САЩ, които не са обвързани от Рамковото споразумение, и за използването от тях на </w:t>
      </w:r>
      <w:r>
        <w:rPr>
          <w:noProof/>
        </w:rPr>
        <w:lastRenderedPageBreak/>
        <w:t>тези данни е необходимо уведомяването и предварителното разрешение на компетентния съдебен орган, определен в държавата членка, в която доставчикът на услуги е установен или представляван, както и че разкриването и използването може да се извършват единствено ако е гарантирано, че получаващият орган ефективно защитава личните данни и данните за електронни съобщения в съответствие с разпоредбите на споразумението. Когато разглежда въпроса за такова предварително разрешение, компетентният съдебен орган следва да вземе предвид всички фактори, включително тежестта на престъплението и целта, с която данните първоначално са били предадени.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Изискването, че адресати на последващо предаване към други трети държави могат да бъдат единствено правоприлагащи органи, отговарящи за предотвратяването, разследването, разкриването или наказателното преследване на престъпления, включително тероризъм, и че за такова предаване е необходимо уведомяването и предварителното разрешение на компетентния съдебен орган, определен от държавата членка, в която доставчикът на услуги е установен или представляван. Когато разглежда въпроса за такова предварително разрешение, компетентният съдебен орган следва да вземе предвид всички фактори, както е посочено в член 7, параграф 2 от Рамковото споразумение. 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В споразумението могат да бъдат разгледани изключителните обстоятелства и гаранциите, които се изискват, за да може последващо предаване да се осъществи без предварително разрешение, в случай на сериозна и непосредствена заплаха за обществената сигурност на държава членка или трета държава. 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Уведомяването на компетентния орган, определен от държавата членка, в която доставчикът на услуги е установен или представляван, за инцидент, свързан със сигурността на информацията, се извършва при условията, предвидени в член 10, параграф 2 от Рамковото споразумение.  </w:t>
      </w:r>
    </w:p>
    <w:p>
      <w:pPr>
        <w:pStyle w:val="NumPar1"/>
        <w:rPr>
          <w:noProof/>
        </w:rPr>
      </w:pPr>
      <w:r>
        <w:rPr>
          <w:noProof/>
        </w:rPr>
        <w:t>Допълнителните гаранции за процесуалните права, които следва да бъдат преразгледани в зависимост от обхвата на споразумението, следва да включват наред с другото: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Подходящите гаранции за това, че данните не могат да бъдат поискани за използване в наказателни производства, които могат да доведат до налагане на смъртно наказание. 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Адекватните условия за гарантиране на необходимостта и пропорционалността на заповедите за достъп до електронни доказателства, като се прави по-специално разграничаване между категориите данни според случая.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Процесуалните гаранции за лицата, до които е адресирана заповед за данни в рамките на наказателното производство.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Специфичните гаранции за данните, които са защитени от привилегии и имунитети.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Гаранциите за поверителност по отношение на органите и доставчиците на услуги, включително изисквания за неразкриване.</w:t>
      </w:r>
    </w:p>
    <w:p>
      <w:pPr>
        <w:pStyle w:val="Heading1"/>
        <w:rPr>
          <w:noProof/>
        </w:rPr>
      </w:pPr>
      <w:r>
        <w:rPr>
          <w:noProof/>
        </w:rPr>
        <w:t>УПРАВЛЕНИЕ НА СПОРАЗУМЕНИЕТО</w:t>
      </w:r>
    </w:p>
    <w:p>
      <w:pPr>
        <w:pStyle w:val="NumPar1"/>
        <w:rPr>
          <w:noProof/>
        </w:rPr>
      </w:pPr>
      <w:r>
        <w:rPr>
          <w:noProof/>
        </w:rPr>
        <w:t xml:space="preserve">В споразумението следва да се предвиди, че страните периодично извършват съвместен преглед на прилагането на споразумението и проучват как то да се използва най-ефективно. За тази цел двете страни следва да събират статистически данни, за да се улесни процесът на прегледа. </w:t>
      </w:r>
    </w:p>
    <w:p>
      <w:pPr>
        <w:pStyle w:val="NumPar1"/>
        <w:rPr>
          <w:noProof/>
        </w:rPr>
      </w:pPr>
      <w:r>
        <w:rPr>
          <w:noProof/>
        </w:rPr>
        <w:t xml:space="preserve">Споразумението следва да включва клауза относно неговата продължителност на действие. Преценката относно това дали продължителността на действие трябва да бъде неограничена или ограничена се извършва с оглед на резултатите от преговорите. И в двата случая следва да бъде включена разпоредба, изискваща своевременен преглед на споразумението. </w:t>
      </w:r>
    </w:p>
    <w:p>
      <w:pPr>
        <w:pStyle w:val="NumPar1"/>
        <w:rPr>
          <w:noProof/>
        </w:rPr>
      </w:pPr>
      <w:r>
        <w:rPr>
          <w:noProof/>
        </w:rPr>
        <w:t xml:space="preserve">Споразумението следва да предвижда, че страните следва да се консултират, за да улеснят разрешаването на какъвто и да е спор относно тълкуването или прилагането на споразумението. </w:t>
      </w:r>
    </w:p>
    <w:p>
      <w:pPr>
        <w:pStyle w:val="NumPar1"/>
        <w:rPr>
          <w:noProof/>
        </w:rPr>
      </w:pPr>
      <w:r>
        <w:rPr>
          <w:noProof/>
        </w:rPr>
        <w:t>Споразумението следва да предвижда възможността за спиране на действието и прекратяване на споразумението от всяка от страните в случай, че горепосочената процедура за консултации не доведе до разрешаване на спора.</w:t>
      </w:r>
    </w:p>
    <w:p>
      <w:pPr>
        <w:pStyle w:val="NumPar1"/>
        <w:rPr>
          <w:noProof/>
        </w:rPr>
      </w:pPr>
      <w:r>
        <w:rPr>
          <w:noProof/>
        </w:rPr>
        <w:t xml:space="preserve">В споразумението следва да е включена клауза относно неговото териториално прилагане. </w:t>
      </w:r>
    </w:p>
    <w:p>
      <w:pPr>
        <w:pStyle w:val="NumPar1"/>
        <w:rPr>
          <w:noProof/>
        </w:rPr>
      </w:pPr>
      <w:r>
        <w:rPr>
          <w:noProof/>
        </w:rPr>
        <w:t xml:space="preserve">Текстът на споразумението на всички официални езици на Съюза ще бъде еднакво автентичен. 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38E69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DD008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62096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77EBB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F9A02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C1A48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784E4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85CF4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07 17:50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17BD91F-6544-47A8-A63F-1C6D23CCB0CD"/>
    <w:docVar w:name="LW_COVERPAGE_TYPE" w:val="1"/>
    <w:docVar w:name="LW_CROSSREFERENCE" w:val="&lt;UNUSED&gt;"/>
    <w:docVar w:name="LW_DocType" w:val="ANNEX"/>
    <w:docVar w:name="LW_EMISSION" w:val="5.2.2019"/>
    <w:docVar w:name="LW_EMISSION_ISODATE" w:val="2019-02-05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84?\u1077?\u1078?\u1076?\u1091? \u1045?\u1074?\u1088?\u1086?\u1087?\u1077?\u1081?\u1089?\u1082?\u1080?\u1103? \u1089?\u1098?\u1102?\u1079? \u1080? \u1057?\u1098?\u1077?\u1076?\u1080?\u1085?\u1077?\u1085?\u1080?\u1090?\u1077? \u1072?\u1084?\u1077?\u1088?\u1080?\u1082?\u1072?\u1085?\u1089?\u1082?\u1080? \u1097?\u1072?\u1090?\u1080? \u1086?\u1090?\u1085?\u1086?\u1089?\u1085?\u1086? \u1090?\u1088?\u1072?\u1085?\u1089?\u1075?\u1088?\u1072?\u1085?\u1080?\u1095?\u1085?\u1080?\u1103? \u1076?\u1086?\u1089?\u1090?\u1098?\u1087? \u1076?\u1086? \u1077?\u1083?\u1077?\u1082?\u1090?\u1088?\u1086?\u1085?\u1085?\u1080? \u1076?\u1086?\u1082?\u1072?\u1079?\u1072?\u1090?\u1077?\u1083?\u1089?\u1090?\u1074?\u1072? \u1079?\u1072? \u1094?\u1077?\u1083?\u1080?\u1090?\u1077? \u1085?\u1072? \u1089?\u1098?\u1076?\u1077?\u1073?\u1085?\u1086?\u1090?\u1086? \u1089?\u1098?\u1090?\u1088?\u1091?\u1076?\u1085?\u1080?\u1095?\u1077?\u1089?\u1090?\u1074?\u1086? \u1087?\u1086? \u1085?\u1072?\u1082?\u1072?\u1079?\u1072?\u1090?\u1077?\u1083?\u1085?\u1086?\u1087?\u1088?\u1072?\u1074?\u1085?\u1080? \u1074?\u1098?\u1087?\u1088?\u1086?\u1089?\u1080?_x000b_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84?\u1077?\u1078?\u1076?\u1091? \u1045?\u1074?\u1088?\u1086?\u1087?\u1077?\u1081?\u1089?\u1082?\u1080?\u1103? \u1089?\u1098?\u1102?\u1079? \u1080? \u1057?\u1098?\u1077?\u1076?\u1080?\u1085?\u1077?\u1085?\u1080?\u1090?\u1077? \u1072?\u1084?\u1077?\u1088?\u1080?\u1082?\u1072?\u1085?\u1089?\u1082?\u1080? \u1097?\u1072?\u1090?\u1080? \u1086?\u1090?\u1085?\u1086?\u1089?\u1085?\u1086? \u1090?\u1088?\u1072?\u1085?\u1089?\u1075?\u1088?\u1072?\u1085?\u1080?\u1095?\u1085?\u1080?\u1103? \u1076?\u1086?\u1089?\u1090?\u1098?\u1087? \u1076?\u1086? \u1077?\u1083?\u1077?\u1082?\u1090?\u1088?\u1086?\u1085?\u1085?\u1080? \u1076?\u1086?\u1082?\u1072?\u1079?\u1072?\u1090?\u1077?\u1083?\u1089?\u1090?\u1074?\u1072? \u1079?\u1072? \u1094?\u1077?\u1083?\u1080?\u1090?\u1077? \u1085?\u1072? \u1089?\u1098?\u1076?\u1077?\u1073?\u1085?\u1086?\u1090?\u1086? \u1089?\u1098?\u1090?\u1088?\u1091?\u1076?\u1085?\u1080?\u1095?\u1077?\u1089?\u1090?\u1074?\u1086? \u1087?\u1086? \u1085?\u1072?\u1082?\u1072?\u1079?\u1072?\u1090?\u1077?\u1083?\u1085?\u1086?\u1087?\u1088?\u1072?\u1074?\u1085?\u1080? \u1074?\u1098?\u1087?\u1088?\u1086?\u1089?\u1080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7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87?\u1086?\u1088?\u1098?\u1082?\u1072?\u1090?\u1072? \u1079?\u1072? \u1056?\u1045?\u1064?\u1045?\u1053?\u1048?\u1045? \u1053?\u1040? \u1057?\u1066?\u1042?\u1045?\u1058?\u1040?"/>
    <w:docVar w:name="LW_TYPEACTEPRINCIPAL.CP" w:val="\u1087?\u1088?\u1077?\u1087?\u1086?\u1088?\u1098?\u1082?\u1072?\u1090?\u1072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DFA884B-74BB-4D1A-B453-AA6F82FF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1306</Words>
  <Characters>7932</Characters>
  <Application>Microsoft Office Word</Application>
  <DocSecurity>0</DocSecurity>
  <Lines>155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 Tjabbe (HOME)</dc:creator>
  <cp:lastModifiedBy>WES PDFC Administrator</cp:lastModifiedBy>
  <cp:revision>10</cp:revision>
  <dcterms:created xsi:type="dcterms:W3CDTF">2019-02-07T08:42:00Z</dcterms:created>
  <dcterms:modified xsi:type="dcterms:W3CDTF">2019-02-07T16:50:00Z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6.0.1, Build 20180503</vt:lpwstr>
  </property>
  <property fmtid="{D5CDD505-2E9C-101B-9397-08002B2CF9AE}" pid="3" name="Category">
    <vt:lpwstr>COM/ANNEX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Green (DQC version 03)</vt:lpwstr>
  </property>
</Properties>
</file>