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21DE8D8-04FB-4DAA-ADA4-129369971A14" style="width:450.15pt;height:348.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упражняването на делегирането, предоставено на Комисията с Регламент (ЕО) № 1760/2000 на Европейския парламент и на Съвета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w:t>
      </w:r>
    </w:p>
    <w:p>
      <w:pPr>
        <w:spacing w:before="120" w:after="12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1.</w:t>
      </w:r>
      <w:r>
        <w:rPr>
          <w:rFonts w:ascii="Times New Roman" w:hAnsi="Times New Roman"/>
          <w:b/>
          <w:noProof/>
          <w:sz w:val="24"/>
          <w:szCs w:val="24"/>
        </w:rPr>
        <w:tab/>
        <w:t>Въведение и правно основание</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Съгласно член 22б, параграф 2 от Регламент (ЕО) № 1760/2000 на Европейския парламент и на Съвета</w:t>
      </w:r>
      <w:r>
        <w:rPr>
          <w:noProof/>
          <w:vertAlign w:val="superscript"/>
        </w:rPr>
        <w:footnoteReference w:id="1"/>
      </w:r>
      <w:r>
        <w:rPr>
          <w:rFonts w:ascii="Times New Roman" w:hAnsi="Times New Roman"/>
          <w:noProof/>
          <w:sz w:val="24"/>
          <w:szCs w:val="24"/>
        </w:rPr>
        <w:t xml:space="preserve"> (наричан по-нататък „Регламентът за идентификация на едър рогат добитък“) от Комисията се изисква да представи на Европейския парламент и на Съвета доклад относно упражняването на делегирането, предоставено на Комисията с посочения регламент. Докладът следва да се изготви не по-късно от девет месеца преди изтичането на петгодишния срок на делегирането, започнал да тече на 17 юли 2014 г.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spacing w:before="120" w:after="120" w:line="240" w:lineRule="auto"/>
        <w:ind w:left="567" w:hanging="567"/>
        <w:jc w:val="both"/>
        <w:rPr>
          <w:rFonts w:ascii="Times New Roman" w:hAnsi="Times New Roman" w:cs="Times New Roman"/>
          <w:b/>
          <w:bCs/>
          <w:noProof/>
          <w:sz w:val="24"/>
          <w:szCs w:val="24"/>
        </w:rPr>
      </w:pPr>
      <w:r>
        <w:rPr>
          <w:rFonts w:ascii="Times New Roman" w:hAnsi="Times New Roman"/>
          <w:b/>
          <w:bCs/>
          <w:noProof/>
          <w:sz w:val="24"/>
          <w:szCs w:val="24"/>
        </w:rPr>
        <w:t>2.</w:t>
      </w:r>
      <w:r>
        <w:rPr>
          <w:rFonts w:ascii="Times New Roman" w:hAnsi="Times New Roman"/>
          <w:b/>
          <w:bCs/>
          <w:noProof/>
          <w:sz w:val="24"/>
          <w:szCs w:val="24"/>
        </w:rPr>
        <w:tab/>
        <w:t>Упражняване на делегирането</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Член 22б, параграф 2 от Регламента за идентификация на едър рогат добитък се прилага за правомощието за приемане на делегирани актове, предоставено на Комисията с член 4, параграфи 1, 3 и 5, член 4а, параграф 2, член 5, член 6, параграф 2, член 7, параграфи 1, 2 и 6, член 13, параграф 6, член 14 и член 15а от посочения регламент.</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По-конкретно:</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а)</w:t>
      </w:r>
      <w:r>
        <w:rPr>
          <w:rFonts w:ascii="Times New Roman" w:hAnsi="Times New Roman"/>
          <w:noProof/>
          <w:sz w:val="24"/>
          <w:szCs w:val="24"/>
        </w:rPr>
        <w:tab/>
        <w:t>с член 4, параграф 1 от Регламента за идентификация на едър рогат добитък на Комисията се предоставя правомощието да добавя средства за идентификация към списъка, определен в приложение I, като същевременно гарантира оперативната им съвместимост, така че да се осигури адаптиране на средствата за идентификация спрямо техническия напредък. В тази връзка понастоящем не е докладвано технологично развитие на нови средства за идентификация на едър рогат добитък. Поради това е необходим последващ технически напредък преди да се пристъпи към изготвянето на делегиран акт във връзка с нови средства за идентификация на едър рогат добитък;</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б)</w:t>
      </w:r>
      <w:r>
        <w:rPr>
          <w:rFonts w:ascii="Times New Roman" w:hAnsi="Times New Roman"/>
          <w:noProof/>
          <w:sz w:val="24"/>
          <w:szCs w:val="24"/>
        </w:rPr>
        <w:tab/>
        <w:t>с член 4, параграф 3 от Регламента за идентификация на едър рогат добитък на Комисията се предоставя правомощието да приема изискванията по отношение на средствата за идентификация, определени в приложение I, и преходните мерки, необходими за въвеждането на конкретно средство за идентификация. Въз основа на предходното правно основание за това оправомощаване — предишният член 10, буква а) — Комисията прие изискванията за конвенционални ушни марки по силата на Регламент (ЕО) № 911/2004</w:t>
      </w:r>
      <w:bookmarkStart w:id="2" w:name="_Ref530058003"/>
      <w:r>
        <w:rPr>
          <w:rStyle w:val="FootnoteReference"/>
          <w:rFonts w:ascii="Times New Roman" w:hAnsi="Times New Roman" w:cs="Times New Roman"/>
          <w:noProof/>
          <w:sz w:val="24"/>
          <w:szCs w:val="24"/>
        </w:rPr>
        <w:footnoteReference w:id="2"/>
      </w:r>
      <w:bookmarkEnd w:id="2"/>
      <w:r>
        <w:rPr>
          <w:rFonts w:ascii="Times New Roman" w:hAnsi="Times New Roman"/>
          <w:noProof/>
          <w:sz w:val="24"/>
          <w:szCs w:val="24"/>
        </w:rPr>
        <w:t>. Тъй като Регламент (ЕС) 2016/429</w:t>
      </w:r>
      <w:bookmarkStart w:id="3" w:name="_Ref530056361"/>
      <w:r>
        <w:rPr>
          <w:rStyle w:val="FootnoteReference"/>
          <w:rFonts w:ascii="Times New Roman" w:hAnsi="Times New Roman" w:cs="Times New Roman"/>
          <w:noProof/>
          <w:sz w:val="24"/>
          <w:szCs w:val="24"/>
        </w:rPr>
        <w:footnoteReference w:id="3"/>
      </w:r>
      <w:bookmarkEnd w:id="3"/>
      <w:r>
        <w:rPr>
          <w:rFonts w:ascii="Times New Roman" w:hAnsi="Times New Roman"/>
          <w:noProof/>
          <w:sz w:val="24"/>
          <w:szCs w:val="24"/>
        </w:rPr>
        <w:t xml:space="preserve"> следва да измени Регламента за идентификация на едър рогат добитък чрез заличаването на членове 1—10, изискванията за електронни средства за идентификация следва да се приемат от Комисията в съответствие с правомощията, предоставени на Комисията с член 118, параграф 1, буква а) и член 120, параграф 2, буква в) от Законодателството за здравеопазването на животните;</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в)</w:t>
      </w:r>
      <w:r>
        <w:rPr>
          <w:rFonts w:ascii="Times New Roman" w:hAnsi="Times New Roman"/>
          <w:noProof/>
          <w:sz w:val="24"/>
          <w:szCs w:val="24"/>
        </w:rPr>
        <w:tab/>
        <w:t>с член 4, параграф 5 от Регламента за идентификация на едър рогат добитък на Комисията се предоставя правомощието да приема изискванията за алтернативните средства за идентификация на едрия рогат добитък, предназначен за културни и спортни събития, различни от панаири и изложения, включително преходните мерки, изисквани за тяхното въвеждане. Въз основа на предходното правно основание за това оправомощаване — предишният член 4, параграф 1 — Комисията прие такива изисквания по силата на Регламент (ЕО) № 644/2005</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г)</w:t>
      </w:r>
      <w:r>
        <w:rPr>
          <w:rFonts w:ascii="Times New Roman" w:hAnsi="Times New Roman"/>
          <w:noProof/>
          <w:sz w:val="24"/>
          <w:szCs w:val="24"/>
        </w:rPr>
        <w:tab/>
        <w:t>с член 4а, параграф 2 от Регламента за идентификация на едър рогат добитък на Комисията се предоставя правомощието да определя специалните обстоятелства, при които държавите членки могат да удължават максималните срокове за поставяне на средствата за идентификация. Посредством Решениe 2004/764/ЕО</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Решение 2006/28/ЕО</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се приеха специфичните изисквания за едрия рогат добитък, отглеждан в природни резервати в Нидерландия и за телета от крави с бозаещи малки, които не се използват за производство на мляко (преди Регламент (ЕС) № 653/2014</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да измени Регламента за идентификация на едър рогат добитък). На този етап не са обсъждани допълнителни обстоятелства, които да налагат приемането на специфични изисквания посредством делегиран акт;</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д)</w:t>
      </w:r>
      <w:r>
        <w:rPr>
          <w:rFonts w:ascii="Times New Roman" w:hAnsi="Times New Roman"/>
          <w:noProof/>
          <w:sz w:val="24"/>
          <w:szCs w:val="24"/>
        </w:rPr>
        <w:tab/>
        <w:t>с член 5 и член 6, параграф 2 от Регламента за идентификация на едър рогат добитък на Комисията се предоставя правомощието да определя правилата относно данните, които се обменят между компютризираните бази данни на държавите членки, както и информацията от компютризираната база данни, която да се включва в паспорта на животното, включително преходните мерки. Тъй като Регламент (ЕС) 2016/429</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_Ref530056361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fldChar w:fldCharType="end"/>
      </w:r>
      <w:r>
        <w:rPr>
          <w:rFonts w:ascii="Times New Roman" w:hAnsi="Times New Roman"/>
          <w:noProof/>
          <w:sz w:val="24"/>
          <w:szCs w:val="24"/>
        </w:rPr>
        <w:t xml:space="preserve"> следва да измени Регламента за идентификация на едър рогат добитък чрез заличаването на членове 1—10, тези правила следва да се приемат от Комисията в съответствие с правомощията, предоставени ѝ с член 118, параграф 1, буква б) и член 118, параграф 1, буква в) от Законодателството за здравеопазването на животните;</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е)</w:t>
      </w:r>
      <w:r>
        <w:rPr>
          <w:rFonts w:ascii="Times New Roman" w:hAnsi="Times New Roman"/>
          <w:noProof/>
          <w:sz w:val="24"/>
          <w:szCs w:val="24"/>
        </w:rPr>
        <w:tab/>
        <w:t>с член 7, параграф 1 от Регламента за идентификация на едър рогат добитък на Комисията се предоставя правомощието да определя изключителните обстоятелства, при които държавите членки могат да удължат максималния период, в рамките на който животновъдите, отглеждащи едър рогат добитък, са задължени да докладват на компетентния орган за всички придвижвания до и от стопанството и за всички раждания и смъртни случаи на животни в стопанството. Въз основа на предходното правно основание за това оправомощаване — предишният член 7, параграф 1 — Комисията прие такива изисквания по силата на Регламент (ЕО) № 911/2004</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_Ref530058003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fldChar w:fldCharType="end"/>
      </w:r>
      <w:r>
        <w:rPr>
          <w:rFonts w:ascii="Times New Roman" w:hAnsi="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ж)</w:t>
      </w:r>
      <w:r>
        <w:rPr>
          <w:rFonts w:ascii="Times New Roman" w:hAnsi="Times New Roman"/>
          <w:noProof/>
          <w:sz w:val="24"/>
          <w:szCs w:val="24"/>
        </w:rPr>
        <w:tab/>
        <w:t>с член 7, параграф 2 от Регламента за идентификация на едър рогат добитък на Комисията се предоставя правомощието да съставя списък на държавите членки или част от държавите членки, в които следва да се прилагат специални правила относно сезонната паша, включително относно времевия период и специфичните задължения на животновъдите, както и правилата относно регистрацията на стопанство и регистрацията на движението на такъв едър рогат добитък. Тъй като Комисията прие тези правила с Решение № 2001/672/ЕО</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не са обсъждани допълнителни обстоятелства, които да налагат приемането на специфични изисквания посредством делегиран акт;</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з)</w:t>
      </w:r>
      <w:r>
        <w:rPr>
          <w:rFonts w:ascii="Times New Roman" w:hAnsi="Times New Roman"/>
          <w:noProof/>
          <w:sz w:val="24"/>
          <w:szCs w:val="24"/>
        </w:rPr>
        <w:tab/>
        <w:t>с член 7, параграф 6 от Регламента за идентификация на едър рогат добитък на Комисията се предоставя правомощието да определя правилата относно информацията, която трябва да се съдържа в регистъра на стопанството. Въз основа на предходното правно основание за това оправомощаване — предишният член 10, буква в) — Комисията прие такива изисквания по силата на Регламент (ЕО) № 911/2004</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_Ref530058003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fldChar w:fldCharType="end"/>
      </w:r>
      <w:r>
        <w:rPr>
          <w:rFonts w:ascii="Times New Roman" w:hAnsi="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 xml:space="preserve">и) </w:t>
      </w:r>
      <w:r>
        <w:rPr>
          <w:rFonts w:ascii="Times New Roman" w:hAnsi="Times New Roman"/>
          <w:noProof/>
          <w:sz w:val="24"/>
          <w:szCs w:val="24"/>
        </w:rPr>
        <w:tab/>
        <w:t>с член 13, параграф 6 от Регламента за идентификация на едър рогат добитък на Комисията се предоставя правомощието да определи опростени разпоредби за етикетиране за произход в случай на много кратък престой на животното в държава членка или трета държава на раждане или на клане, така че да се избегнат ненужните повторения. Въз основа на предходното правно основание за това оправомощаване — предишният член 19 — Комисията определи такива правила в член 3 от Регламент (ЕО) № 1825/2000</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й)</w:t>
      </w:r>
      <w:r>
        <w:rPr>
          <w:rFonts w:ascii="Times New Roman" w:hAnsi="Times New Roman"/>
          <w:noProof/>
          <w:sz w:val="24"/>
          <w:szCs w:val="24"/>
        </w:rPr>
        <w:tab/>
        <w:t>с член 14 от Регламента за идентификация на едър рогат добитък на Комисията се предоставя правомощието да определя равностойни правила на тези относно мляното месо, етикетирането на изрезки от говеждо месо и транжираното говеждо месо. Въз основа на предходното правно основание за това оправомощаване — предишният член 19 — Комисията прие такива изисквания по силата на Регламент (ЕО) № 1825/2000</w:t>
      </w:r>
      <w:r>
        <w:rPr>
          <w:rFonts w:ascii="Times New Roman" w:hAnsi="Times New Roman"/>
          <w:noProof/>
          <w:sz w:val="24"/>
          <w:szCs w:val="24"/>
          <w:vertAlign w:val="superscript"/>
        </w:rPr>
        <w:t>9</w:t>
      </w:r>
      <w:r>
        <w:rPr>
          <w:rFonts w:ascii="Times New Roman" w:hAnsi="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noProof/>
          <w:sz w:val="24"/>
          <w:szCs w:val="24"/>
        </w:rPr>
        <w:t>к)</w:t>
      </w:r>
      <w:r>
        <w:rPr>
          <w:rFonts w:ascii="Times New Roman" w:hAnsi="Times New Roman"/>
          <w:noProof/>
          <w:sz w:val="24"/>
          <w:szCs w:val="24"/>
        </w:rPr>
        <w:tab/>
        <w:t>с член 15а от Регламента за идентификация на едър рогат добитък на Комисията се предоставя правомощието да определя дефинициите и изискванията, които се прилагат към думи или категории думи, които могат да бъдат поставяни на етикетите доброволно от стопанските субекти. След опростяването на доброволното етикетиране с Регламент (ЕС) № 653/2014</w:t>
      </w:r>
      <w:r>
        <w:rPr>
          <w:rFonts w:ascii="Times New Roman" w:hAnsi="Times New Roman"/>
          <w:noProof/>
          <w:sz w:val="24"/>
          <w:szCs w:val="24"/>
          <w:vertAlign w:val="superscript"/>
        </w:rPr>
        <w:t>7</w:t>
      </w:r>
      <w:r>
        <w:rPr>
          <w:rFonts w:ascii="Times New Roman" w:hAnsi="Times New Roman"/>
          <w:noProof/>
          <w:sz w:val="24"/>
          <w:szCs w:val="24"/>
        </w:rPr>
        <w:t xml:space="preserve">, който измени Регламента за идентификация на едър рогат добитък, вече не са налични обстоятелства, които да налагат необходимост от регламентиране на тези определения и изисквания посредством делегиран акт.    </w:t>
      </w:r>
    </w:p>
    <w:p>
      <w:pPr>
        <w:spacing w:before="120" w:after="120" w:line="240" w:lineRule="auto"/>
        <w:ind w:left="567" w:hanging="567"/>
        <w:jc w:val="both"/>
        <w:rPr>
          <w:rFonts w:ascii="Times New Roman" w:hAnsi="Times New Roman" w:cs="Times New Roman"/>
          <w:b/>
          <w:bCs/>
          <w:noProof/>
          <w:sz w:val="24"/>
          <w:szCs w:val="24"/>
        </w:rPr>
      </w:pPr>
      <w:r>
        <w:rPr>
          <w:rFonts w:ascii="Times New Roman" w:hAnsi="Times New Roman"/>
          <w:b/>
          <w:bCs/>
          <w:noProof/>
          <w:sz w:val="24"/>
          <w:szCs w:val="24"/>
        </w:rPr>
        <w:t>3.</w:t>
      </w:r>
      <w:r>
        <w:rPr>
          <w:rFonts w:ascii="Times New Roman" w:hAnsi="Times New Roman"/>
          <w:b/>
          <w:bCs/>
          <w:noProof/>
          <w:sz w:val="24"/>
          <w:szCs w:val="24"/>
        </w:rPr>
        <w:tab/>
        <w:t>Заключение</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 xml:space="preserve">До този момент Комисията допълни изискванията на Регламента за идентификация на едър рогат добитък относно въпросите, посочени в член 4, параграфи 3 и 5, член 7, параграфи 1 и 6, член 13, параграф 6 и член 14 от посочения регламент. </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Засега Комисията не възнамерява да пристъпва към подготовката на делегирани актове по отношение на делегираните правомощия, посочени в член 15а, тъй като не е установена конкретна необходимост от допълнително хармонизиране на доброволното етикетиране на говеждо месо. Освен това действащите хоризонтални правила относно предоставянето на информация на потребителите относно храните, предвидени в Регламент (ЕС) № 1169/2011,</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се смятат за достатъчни.</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На този етап Комисията не смята да пристъпи към изготвянето на делегиран акт във връзка с делегираните ѝ правомощия, посочени в член 4, параграфи 1, член 4а, параграф 2, член 5, член 6, параграф 2 и член 7, параграф 2 от Регламента за идентификация на едър рогат добитък, тъй като Регламент (ЕС) 2016/429</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_Ref530056361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fldChar w:fldCharType="end"/>
      </w:r>
      <w:r>
        <w:rPr>
          <w:rFonts w:ascii="Times New Roman" w:hAnsi="Times New Roman"/>
          <w:noProof/>
          <w:sz w:val="24"/>
          <w:szCs w:val="24"/>
        </w:rPr>
        <w:t xml:space="preserve"> следва да измени този регламент чрез заличаването на членове 1—10, считано от 21 април 2021 г. </w:t>
      </w:r>
    </w:p>
    <w:p>
      <w:pPr>
        <w:spacing w:before="120" w:after="120" w:line="240" w:lineRule="auto"/>
        <w:ind w:left="567"/>
        <w:jc w:val="both"/>
        <w:rPr>
          <w:rFonts w:ascii="Times New Roman" w:hAnsi="Times New Roman" w:cs="Times New Roman"/>
          <w:noProof/>
          <w:sz w:val="24"/>
          <w:szCs w:val="24"/>
        </w:rPr>
      </w:pPr>
      <w:r>
        <w:rPr>
          <w:rFonts w:ascii="Times New Roman" w:hAnsi="Times New Roman"/>
          <w:noProof/>
          <w:sz w:val="24"/>
          <w:szCs w:val="24"/>
        </w:rPr>
        <w:t>Комисията е на мнение, че всички нови изисквания и правила относно идентификацията на едър рогат добитък следва да бъдат приети въз основа на делегираните правомощия, предоставени на Комисията посредством Законодателството за здравеопазването на животните.</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228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sz w:val="16"/>
          <w:szCs w:val="16"/>
        </w:rPr>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(ОВ L 204, 11.8.2000 г., стр. 1).</w:t>
      </w:r>
    </w:p>
  </w:footnote>
  <w:footnote w:id="2">
    <w:p>
      <w:pPr>
        <w:pStyle w:val="FootnoteText"/>
        <w:ind w:left="567" w:hanging="567"/>
        <w:rPr>
          <w:rFonts w:ascii="Times New Roman" w:hAnsi="Times New Roman" w:cs="Times New Roman"/>
          <w:sz w:val="16"/>
          <w:szCs w:val="16"/>
        </w:rPr>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sz w:val="16"/>
          <w:szCs w:val="16"/>
        </w:rPr>
        <w:t>Регламент (ЕО) № 911/2004 на Комисията от 29 април 2004 г.</w:t>
      </w:r>
      <w:r>
        <w:rPr>
          <w:rFonts w:ascii="Times New Roman" w:hAnsi="Times New Roman"/>
        </w:rPr>
        <w:t xml:space="preserve"> </w:t>
      </w:r>
      <w:r>
        <w:rPr>
          <w:rFonts w:ascii="Times New Roman" w:hAnsi="Times New Roman"/>
          <w:sz w:val="16"/>
          <w:szCs w:val="16"/>
        </w:rPr>
        <w:t>за прилагане на Регламент (ЕО) № 1760/2000 на Европейския парламент и на Съвета относно ушните марки, паспортите и регистрите на стопанствата (ОВ L 163, 30.4.2004 г., стр. 65).</w:t>
      </w:r>
    </w:p>
  </w:footnote>
  <w:footnote w:id="3">
    <w:p>
      <w:pPr>
        <w:pStyle w:val="FootnoteText"/>
        <w:ind w:left="567" w:hanging="567"/>
      </w:pPr>
      <w:r>
        <w:rPr>
          <w:rFonts w:ascii="Times New Roman" w:hAnsi="Times New Roman" w:cs="Times New Roman"/>
          <w:sz w:val="16"/>
          <w:szCs w:val="16"/>
        </w:rPr>
        <w:footnoteRef/>
      </w:r>
      <w:r>
        <w:rPr>
          <w:rFonts w:ascii="Times New Roman" w:hAnsi="Times New Roman"/>
          <w:sz w:val="16"/>
          <w:szCs w:val="16"/>
        </w:rP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084, 31.3.2016 г., стр. 1).</w:t>
      </w:r>
    </w:p>
  </w:footnote>
  <w:footnote w:id="4">
    <w:p>
      <w:pPr>
        <w:pStyle w:val="FootnoteText"/>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sz w:val="16"/>
          <w:szCs w:val="16"/>
        </w:rPr>
        <w:tab/>
        <w:t>Регламент (ЕО) № 644/2005 на Комисията от 27 април 2005 г.</w:t>
      </w:r>
      <w:r>
        <w:rPr>
          <w:rFonts w:ascii="Times New Roman" w:hAnsi="Times New Roman"/>
        </w:rPr>
        <w:t xml:space="preserve"> </w:t>
      </w:r>
      <w:r>
        <w:rPr>
          <w:rFonts w:ascii="Times New Roman" w:hAnsi="Times New Roman"/>
          <w:sz w:val="16"/>
          <w:szCs w:val="16"/>
        </w:rPr>
        <w:t>за одобряване на специална система за идентификация на добитък, отглеждан с културна и историческа цел в одобрени за целта помещения, съгласно Регламент (ЕО) № 1760/2000 на Европейския парламент и на Съвета (ОВ L 107, 28.4.2005 г., стр. 18).</w:t>
      </w:r>
    </w:p>
  </w:footnote>
  <w:footnote w:id="5">
    <w:p>
      <w:pPr>
        <w:pStyle w:val="FootnoteText"/>
        <w:ind w:left="567" w:hanging="567"/>
      </w:pPr>
      <w:r>
        <w:rPr>
          <w:rFonts w:ascii="Times New Roman" w:hAnsi="Times New Roman" w:cs="Times New Roman"/>
          <w:sz w:val="16"/>
          <w:szCs w:val="16"/>
        </w:rPr>
        <w:footnoteRef/>
      </w:r>
      <w:r>
        <w:rPr>
          <w:rFonts w:ascii="Times New Roman" w:hAnsi="Times New Roman"/>
          <w:sz w:val="16"/>
          <w:szCs w:val="16"/>
        </w:rPr>
        <w:tab/>
        <w:t>Решение 2004/764/ЕО на Комисията от 22 октомври 2004 г. относно удължаване на максималния период, определен за поставяне на ушни марки на някои животни от рода на едрия рогат добитък, отглеждани в природни резервати в Нидерландия (ОВ L 339, 16.11.2004 г., стр. 9).</w:t>
      </w:r>
    </w:p>
  </w:footnote>
  <w:footnote w:id="6">
    <w:p>
      <w:pPr>
        <w:pStyle w:val="FootnoteText"/>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sz w:val="16"/>
          <w:szCs w:val="16"/>
        </w:rPr>
        <w:tab/>
        <w:t>Решение 2006/28/ЕО на Комисията от 18 януари 2006 г. за удължаване на максималния период за поставяне на ушни марки на някои животни от рода на едрия рогат добитък (ОВ L 19, 24.1.2006 г., стр. 32).</w:t>
      </w:r>
    </w:p>
  </w:footnote>
  <w:footnote w:id="7">
    <w:p>
      <w:pPr>
        <w:pStyle w:val="FootnoteText"/>
        <w:ind w:left="567" w:hanging="567"/>
      </w:pPr>
      <w:r>
        <w:rPr>
          <w:rFonts w:ascii="Times New Roman" w:hAnsi="Times New Roman" w:cs="Times New Roman"/>
          <w:sz w:val="16"/>
          <w:szCs w:val="16"/>
        </w:rPr>
        <w:footnoteRef/>
      </w:r>
      <w:r>
        <w:rPr>
          <w:rFonts w:ascii="Times New Roman" w:hAnsi="Times New Roman"/>
          <w:sz w:val="16"/>
          <w:szCs w:val="16"/>
        </w:rPr>
        <w:tab/>
        <w:t>Регламент (ЕС) № 653/2014 на Европейския парламент и на Съвета от 15 май 2014 г. за изменение на Регламент (ЕО) № 1760/2000 по отношение на електронната идентификация на едър рогат добитък и за етикетирането на говеждо месо (ОВ L 189, 27.6.2014 г., стр. 33).</w:t>
      </w:r>
    </w:p>
  </w:footnote>
  <w:footnote w:id="8">
    <w:p>
      <w:pPr>
        <w:pStyle w:val="FootnoteText"/>
        <w:ind w:left="567" w:hanging="567"/>
      </w:pPr>
      <w:r>
        <w:rPr>
          <w:rFonts w:ascii="Times New Roman" w:hAnsi="Times New Roman" w:cs="Times New Roman"/>
          <w:sz w:val="16"/>
          <w:szCs w:val="16"/>
        </w:rPr>
        <w:footnoteRef/>
      </w:r>
      <w:r>
        <w:rPr>
          <w:rFonts w:ascii="Times New Roman" w:hAnsi="Times New Roman"/>
          <w:sz w:val="16"/>
          <w:szCs w:val="16"/>
        </w:rPr>
        <w:tab/>
        <w:t>Решение 2001/672/ЕО на Комисията от 20 август 2001 г. относно специалните правила, приложими при движение на едър рогат добитък, когато е изведен на лятна паша в планински области (ОВ L 235, 4.9.2001 г., стр. 23).</w:t>
      </w:r>
    </w:p>
  </w:footnote>
  <w:footnote w:id="9">
    <w:p>
      <w:pPr>
        <w:pStyle w:val="FootnoteText"/>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sz w:val="16"/>
          <w:szCs w:val="16"/>
        </w:rPr>
        <w:tab/>
        <w:t>Регламент (ЕО) № 1825/2000 на Комисията от 25 август 2000 г.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 (ОВ L 216, 26.8.2000 г., стр. 8).</w:t>
      </w:r>
    </w:p>
  </w:footnote>
  <w:footnote w:id="10">
    <w:p>
      <w:pPr>
        <w:pStyle w:val="FootnoteText"/>
        <w:ind w:left="567" w:hanging="567"/>
      </w:pPr>
      <w:r>
        <w:rPr>
          <w:rFonts w:ascii="Times New Roman" w:hAnsi="Times New Roman" w:cs="Times New Roman"/>
          <w:sz w:val="16"/>
          <w:szCs w:val="16"/>
        </w:rPr>
        <w:footnoteRef/>
      </w:r>
      <w:r>
        <w:rPr>
          <w:rFonts w:ascii="Times New Roman" w:hAnsi="Times New Roman"/>
          <w:sz w:val="16"/>
          <w:szCs w:val="16"/>
        </w:rPr>
        <w:tab/>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стр.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562"/>
    <w:multiLevelType w:val="hybridMultilevel"/>
    <w:tmpl w:val="CCDA7F32"/>
    <w:lvl w:ilvl="0" w:tplc="A11C24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1DE8D8-04FB-4DAA-ADA4-129369971A14"/>
    <w:docVar w:name="LW_COVERPAGE_TYPE" w:val="1"/>
    <w:docVar w:name="LW_CROSSREFERENCE" w:val="&lt;UNUSED&gt;"/>
    <w:docVar w:name="LW_DocType" w:val="NORMAL"/>
    <w:docVar w:name="LW_EMISSION" w:val="11.2.2019"/>
    <w:docVar w:name="LW_EMISSION_ISODATE" w:val="2019-02-1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91?\u1087?\u1088?\u1072?\u1078?\u1085?\u1103?\u1074?\u1072?\u1085?\u1077?\u1090?\u1086? \u1085?\u1072? \u1076?\u1077?\u1083?\u1077?\u1075?\u1080?\u1088?\u1072?\u1085?\u1077?\u1090?\u1086?, \u1087?\u1088?\u1077?\u1076?\u1086?\u1089?\u1090?\u1072?\u1074?\u1077?\u1085?\u1086? \u1085?\u1072? \u1050?\u1086?\u1084?\u1080?\u1089?\u1080?\u1103?\u1090?\u1072? \u1089? \u1056?\u1077?\u1075?\u1083?\u1072?\u1084?\u1077?\u1085?\u1090? (\u1045?\u1054?) \u8470? 1760/2000 \u1085?\u1072? \u1045?\u1074?\u1088?\u1086?\u1087?\u1077?\u1081?\u1089?\u1082?\u1080?\u1103? \u1087?\u1072?\u1088?\u1083?\u1072?\u1084?\u1077?\u1085?\u1090? \u1080? \u1085?\u1072? \u1057?\u1098?\u1074?\u1077?\u1090?\u1072? \u1079?\u1072? \u1089?\u1098?\u1079?\u1076?\u1072?\u1074?\u1072?\u1085?\u1077? \u1085?\u1072? \u1089?\u1080?\u1089?\u1090?\u1077?\u1084?\u1072? \u1079?\u1072? \u1080?\u1076?\u1077?\u1085?\u1090?\u1080?\u1092?\u1080?\u1082?\u1072?\u1094?\u1080?\u1103? \u1080? \u1088?\u1077?\u1075?\u1080?\u1089?\u1090?\u1088?\u1072?\u1094?\u1080?\u1103? \u1085?\u1072? \u1077?\u1076?\u1098?\u1088? \u1088?\u1086?\u1075?\u1072?\u1090? \u1076?\u1086?\u1073?\u1080?\u1090?\u1098?\u1082? \u1080? \u1086?\u1090?\u1085?\u1086?\u1089?\u1085?\u1086? \u1077?\u1090?\u1080?\u1082?\u1077?\u1090?\u1080?\u1088?\u1072?\u1085?\u1077?\u1090?\u1086? \u1085?\u1072? \u1075?\u1086?\u1074?\u1077?\u1078?\u1076?\u1086? \u1084?\u1077?\u1089?\u1086? \u1080? \u1087?\u1088?\u1086?\u1076?\u1091?\u1082?\u1090?\u1080? \u1086?\u1090? \u1075?\u1086?\u1074?\u1077?\u1078?\u1076?\u1086? \u1084?\u1077?\u1089?\u1086? \u1080? \u1079?\u1072? \u1086?\u1090?\u1084?\u1103?\u1085?\u1072? \u1085?\u1072? \u1056?\u1077?\u1075?\u1083?\u1072?\u1084?\u1077?\u1085?\u1090? (\u1045?\u1054?) \u8470? 820/97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77D1E7-48A7-4024-95FF-416D0A74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1445</Words>
  <Characters>8225</Characters>
  <Application>Microsoft Office Word</Application>
  <DocSecurity>0</DocSecurity>
  <Lines>152</Lines>
  <Paragraphs>27</Paragraphs>
  <ScaleCrop>false</ScaleCrop>
  <HeadingPairs>
    <vt:vector size="2" baseType="variant">
      <vt:variant>
        <vt:lpstr>Title</vt:lpstr>
      </vt:variant>
      <vt:variant>
        <vt:i4>1</vt:i4>
      </vt:variant>
    </vt:vector>
  </HeadingPairs>
  <TitlesOfParts>
    <vt:vector size="1" baseType="lpstr">
      <vt:lpstr>SANTE/7131/2018-EN CIS</vt:lpstr>
    </vt:vector>
  </TitlesOfParts>
  <Manager/>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SANTE/7131/2018-EN</dc:title>
  <dc:subject>REPORT</dc:subject>
  <dc:creator/>
  <cp:keywords>7131</cp:keywords>
  <dc:description>Outlook 17,1,2019</dc:description>
  <cp:lastModifiedBy>DIGIT/C6</cp:lastModifiedBy>
  <cp:revision>18</cp:revision>
  <cp:lastPrinted>2019-01-17T08:56:00Z</cp:lastPrinted>
  <dcterms:created xsi:type="dcterms:W3CDTF">2019-01-17T10:19:00Z</dcterms:created>
  <dcterms:modified xsi:type="dcterms:W3CDTF">2019-02-04T16:00:00Z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