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29634E4-2C9D-4968-8308-51B35F0E4DBB"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ДОКЛАД НА КОМИСИЯТА ДО ЕВРОПЕЙСКИЯ ПАРЛАМЕНТ И СЪВЕТА</w:t>
      </w:r>
    </w:p>
    <w:p>
      <w:pPr>
        <w:pStyle w:val="ListParagraph"/>
        <w:jc w:val="center"/>
        <w:rPr>
          <w:rFonts w:ascii="Times New Roman" w:hAnsi="Times New Roman" w:cs="Times New Roman"/>
          <w:b/>
          <w:noProof/>
          <w:sz w:val="24"/>
          <w:szCs w:val="24"/>
        </w:rPr>
      </w:pPr>
      <w:r>
        <w:rPr>
          <w:rFonts w:ascii="Times New Roman" w:hAnsi="Times New Roman"/>
          <w:b/>
          <w:noProof/>
          <w:sz w:val="24"/>
        </w:rPr>
        <w:t>относно упражняването на правомощията, делегирани на Комисията съгласно Регламент (ЕC) № 995/2010 на Европейския парламент и на Съвета от 20 октомври 2010 г. за определяне на задълженията на операторите, които пускат на пазара дървен материал и изделия от дървен материал (Регламента на ЕС относно дървения материал)</w:t>
      </w:r>
    </w:p>
    <w:p>
      <w:pPr>
        <w:pStyle w:val="ListParagraph"/>
        <w:rPr>
          <w:rFonts w:ascii="Times New Roman" w:hAnsi="Times New Roman" w:cs="Times New Roman"/>
          <w:b/>
          <w:noProof/>
          <w:sz w:val="24"/>
          <w:szCs w:val="24"/>
        </w:rPr>
      </w:pPr>
    </w:p>
    <w:p>
      <w:pPr>
        <w:pStyle w:val="ListParagraph"/>
        <w:numPr>
          <w:ilvl w:val="0"/>
          <w:numId w:val="1"/>
        </w:numPr>
        <w:rPr>
          <w:rFonts w:ascii="Times New Roman" w:hAnsi="Times New Roman" w:cs="Times New Roman"/>
          <w:b/>
          <w:noProof/>
          <w:sz w:val="24"/>
          <w:szCs w:val="24"/>
        </w:rPr>
      </w:pPr>
      <w:r>
        <w:rPr>
          <w:rFonts w:ascii="Times New Roman" w:hAnsi="Times New Roman"/>
          <w:b/>
          <w:noProof/>
          <w:sz w:val="24"/>
        </w:rPr>
        <w:t>ВЪВЕДЕНИЕ</w:t>
      </w:r>
    </w:p>
    <w:p>
      <w:pPr>
        <w:pStyle w:val="Default"/>
        <w:spacing w:after="200" w:line="276" w:lineRule="auto"/>
        <w:ind w:left="720"/>
        <w:contextualSpacing/>
        <w:jc w:val="both"/>
        <w:rPr>
          <w:noProof/>
        </w:rPr>
      </w:pPr>
      <w:r>
        <w:rPr>
          <w:noProof/>
        </w:rPr>
        <w:t>Регламент (ЕС) № 995/2010</w:t>
      </w:r>
      <w:r>
        <w:rPr>
          <w:rStyle w:val="FootnoteReference"/>
          <w:noProof/>
        </w:rPr>
        <w:footnoteReference w:id="1"/>
      </w:r>
      <w:r>
        <w:rPr>
          <w:noProof/>
        </w:rPr>
        <w:t xml:space="preserve"> (наричан по-долу за краткост „Регламентът на ЕС относно дървения материал“) забранява пускането на вътрешния пазар на незаконно добит дървен материал и на изделия от незаконно добит дървен материал. Регламентът на ЕС относно дървения материал е част от широк набор от мерки, въведени в Плана за действие за прилагане на законодателството в областта на горите, управлението и търговията</w:t>
      </w:r>
      <w:r>
        <w:rPr>
          <w:rStyle w:val="FootnoteReference"/>
          <w:noProof/>
        </w:rPr>
        <w:footnoteReference w:id="2"/>
      </w:r>
      <w:r>
        <w:rPr>
          <w:noProof/>
        </w:rPr>
        <w:t>, чрез който ЕС дава цялостен отговор на повсеместния проблем с незаконната сеч. Той също така допринася за намаляване на емисиите от обезлесяване и на деградацията на горите, както и за опазването на горите, устойчивото управление на горите и увеличаването на въглеродните запаси в горите в развиващите се държави.</w:t>
      </w:r>
    </w:p>
    <w:p>
      <w:pPr>
        <w:pStyle w:val="Default"/>
        <w:spacing w:after="200" w:line="276" w:lineRule="auto"/>
        <w:ind w:left="720"/>
        <w:contextualSpacing/>
        <w:jc w:val="both"/>
        <w:rPr>
          <w:noProof/>
        </w:rPr>
      </w:pPr>
    </w:p>
    <w:p>
      <w:pPr>
        <w:pStyle w:val="Default"/>
        <w:spacing w:after="200" w:line="276" w:lineRule="auto"/>
        <w:ind w:left="720"/>
        <w:contextualSpacing/>
        <w:jc w:val="both"/>
        <w:rPr>
          <w:noProof/>
        </w:rPr>
      </w:pPr>
      <w:r>
        <w:rPr>
          <w:noProof/>
        </w:rPr>
        <w:t>С Регламента на ЕС относно дървения материал се въвеждат три задължения:</w:t>
      </w:r>
    </w:p>
    <w:p>
      <w:pPr>
        <w:pStyle w:val="ListParagraph"/>
        <w:numPr>
          <w:ilvl w:val="1"/>
          <w:numId w:val="1"/>
        </w:numPr>
        <w:jc w:val="both"/>
        <w:rPr>
          <w:rFonts w:ascii="Times New Roman" w:eastAsia="Calibri" w:hAnsi="Times New Roman" w:cs="Times New Roman"/>
          <w:noProof/>
          <w:sz w:val="24"/>
          <w:szCs w:val="24"/>
        </w:rPr>
      </w:pPr>
      <w:r>
        <w:rPr>
          <w:rFonts w:ascii="Times New Roman" w:hAnsi="Times New Roman"/>
          <w:noProof/>
          <w:sz w:val="24"/>
        </w:rPr>
        <w:t>в него се забранява пускането на пазара на незаконно добит дървен материал (т.е. дървен материал, получен в нарушение на приложимото законодателство в държавата, в която е добит) и на изделия, получени от такъв дървен материал;</w:t>
      </w:r>
    </w:p>
    <w:p>
      <w:pPr>
        <w:pStyle w:val="ListParagraph"/>
        <w:ind w:left="1440"/>
        <w:jc w:val="both"/>
        <w:rPr>
          <w:rFonts w:ascii="Times New Roman" w:eastAsia="Calibri" w:hAnsi="Times New Roman" w:cs="Times New Roman"/>
          <w:noProof/>
          <w:sz w:val="24"/>
          <w:szCs w:val="24"/>
        </w:rPr>
      </w:pPr>
    </w:p>
    <w:p>
      <w:pPr>
        <w:pStyle w:val="ListParagraph"/>
        <w:numPr>
          <w:ilvl w:val="1"/>
          <w:numId w:val="1"/>
        </w:numPr>
        <w:jc w:val="both"/>
        <w:rPr>
          <w:rFonts w:ascii="Times New Roman" w:eastAsia="Calibri" w:hAnsi="Times New Roman" w:cs="Times New Roman"/>
          <w:noProof/>
          <w:sz w:val="24"/>
          <w:szCs w:val="24"/>
        </w:rPr>
      </w:pPr>
      <w:r>
        <w:rPr>
          <w:rFonts w:ascii="Times New Roman" w:hAnsi="Times New Roman" w:cs="Times New Roman"/>
          <w:noProof/>
          <w:sz w:val="24"/>
          <w:szCs w:val="24"/>
        </w:rPr>
        <w:t>в него се изисква операторите, които пускат на пазара на ЕС за първи път дървен материал и изделия от дървен материал, да извършват надлежна проверка, т.е. да провеждат процедура за управление на риска, за да гарантират, че на пазара на ЕС се пускат само законно добит дървен материал (дървен материал, получен в съответствие с приложимото законодателство в държавата, в която е добит) и изделия, получени от такъв дървен материал;</w:t>
      </w:r>
    </w:p>
    <w:p>
      <w:pPr>
        <w:pStyle w:val="ListParagraph"/>
        <w:rPr>
          <w:rFonts w:ascii="Times New Roman" w:eastAsia="Calibri" w:hAnsi="Times New Roman" w:cs="Times New Roman"/>
          <w:noProof/>
          <w:sz w:val="24"/>
          <w:szCs w:val="24"/>
        </w:rPr>
      </w:pPr>
    </w:p>
    <w:p>
      <w:pPr>
        <w:pStyle w:val="ListParagraph"/>
        <w:numPr>
          <w:ilvl w:val="1"/>
          <w:numId w:val="1"/>
        </w:numPr>
        <w:jc w:val="both"/>
        <w:rPr>
          <w:rFonts w:ascii="Times New Roman" w:eastAsia="Calibri" w:hAnsi="Times New Roman" w:cs="Times New Roman"/>
          <w:noProof/>
          <w:sz w:val="24"/>
          <w:szCs w:val="24"/>
        </w:rPr>
      </w:pPr>
      <w:r>
        <w:rPr>
          <w:rFonts w:ascii="Times New Roman" w:hAnsi="Times New Roman"/>
          <w:noProof/>
          <w:sz w:val="24"/>
        </w:rPr>
        <w:t>в него се изисква търговците на дървен материал и изделия от дървен материал, които вече са пуснати на пазара на ЕС, да водят регистър на своите доставчици и клиенти („задължение за проследяване“).</w:t>
      </w:r>
    </w:p>
    <w:p>
      <w:pPr>
        <w:pStyle w:val="Default"/>
        <w:spacing w:after="200" w:line="276" w:lineRule="auto"/>
        <w:ind w:left="720"/>
        <w:contextualSpacing/>
        <w:jc w:val="both"/>
        <w:rPr>
          <w:noProof/>
        </w:rPr>
      </w:pPr>
      <w:r>
        <w:rPr>
          <w:noProof/>
        </w:rPr>
        <w:t>В обхвата на Регламента на ЕС относно дървения материал попада широка гама от изделия от дървен материал, които са изброени в приложението към него със съответните кодове по Комбинираната номенклатура на ЕС. В него се предвиждат организации за мониторинг, които да се признават от Комисията и да имат за задача да предоставят на операторите оперативни системи за надлежна проверка и да им съдействат при изпълнението на задълженията им.</w:t>
      </w:r>
    </w:p>
    <w:p>
      <w:pPr>
        <w:pStyle w:val="ListParagraph"/>
        <w:jc w:val="both"/>
        <w:rPr>
          <w:rFonts w:ascii="Times New Roman" w:hAnsi="Times New Roman" w:cs="Times New Roman"/>
          <w:noProof/>
          <w:sz w:val="24"/>
          <w:szCs w:val="24"/>
        </w:rPr>
      </w:pPr>
      <w:r>
        <w:rPr>
          <w:rFonts w:ascii="Times New Roman" w:hAnsi="Times New Roman"/>
          <w:noProof/>
          <w:sz w:val="24"/>
        </w:rPr>
        <w:t>Регламентът на ЕС относно дървения материал беше приет през декември 2010 г. и започна да се прилага от 3 март 2013 г. През този период Комисията прие два незаконодателни акта. Първият е Регламент за изпълнение (ЕС) № 607/2012 на Комисията от 6 юли 2012 г.</w:t>
      </w:r>
      <w:r>
        <w:rPr>
          <w:rStyle w:val="FootnoteReference"/>
          <w:rFonts w:ascii="Times New Roman" w:hAnsi="Times New Roman"/>
          <w:noProof/>
          <w:sz w:val="24"/>
        </w:rPr>
        <w:footnoteReference w:id="3"/>
      </w:r>
      <w:r>
        <w:rPr>
          <w:rFonts w:ascii="Times New Roman" w:hAnsi="Times New Roman"/>
          <w:noProof/>
          <w:sz w:val="24"/>
        </w:rPr>
        <w:t xml:space="preserve"> за подробните правила относно системата за надлежна проверка, както и честотата и характера на проверките на организациите за мониторинг, който бе приет съгласно член 18, параграф 2 от Регламента на ЕС относно дървения материал и членове 5 и 7 от Решение 1999/468/ЕО за установяване на условията и реда за упражняване на изпълнителните правомощия, предоставени на Комисията. Вторият е Делегиран регламент (ЕС) № 363/2012 на Комисията от 23 февруари 2012 г.</w:t>
      </w:r>
      <w:r>
        <w:rPr>
          <w:rStyle w:val="FootnoteReference"/>
          <w:rFonts w:ascii="Times New Roman" w:hAnsi="Times New Roman"/>
          <w:noProof/>
          <w:sz w:val="24"/>
        </w:rPr>
        <w:footnoteReference w:id="4"/>
      </w:r>
      <w:r>
        <w:rPr>
          <w:rFonts w:ascii="Times New Roman" w:hAnsi="Times New Roman"/>
          <w:noProof/>
          <w:sz w:val="24"/>
        </w:rPr>
        <w:t xml:space="preserve"> относно процедурните правила за признаването и оттеглянето на признаване на мониторингови организации, както е предвидено в Регламент (ЕС) № 995/2010, който бе приет съгласно член 8, параграф 7 от Регламента на ЕС относно дървения материал. </w:t>
      </w:r>
    </w:p>
    <w:p>
      <w:pPr>
        <w:pStyle w:val="ListParagraph"/>
        <w:jc w:val="both"/>
        <w:rPr>
          <w:rFonts w:ascii="Times New Roman" w:hAnsi="Times New Roman" w:cs="Times New Roman"/>
          <w:bCs/>
          <w:noProof/>
          <w:sz w:val="24"/>
          <w:szCs w:val="24"/>
        </w:rPr>
      </w:pPr>
    </w:p>
    <w:p>
      <w:pPr>
        <w:pStyle w:val="ListParagraph"/>
        <w:numPr>
          <w:ilvl w:val="0"/>
          <w:numId w:val="1"/>
        </w:numPr>
        <w:rPr>
          <w:rFonts w:ascii="Times New Roman" w:hAnsi="Times New Roman" w:cs="Times New Roman"/>
          <w:b/>
          <w:noProof/>
          <w:sz w:val="24"/>
          <w:szCs w:val="24"/>
        </w:rPr>
      </w:pPr>
      <w:r>
        <w:rPr>
          <w:rFonts w:ascii="Times New Roman" w:hAnsi="Times New Roman"/>
          <w:b/>
          <w:noProof/>
          <w:sz w:val="24"/>
        </w:rPr>
        <w:t>ПРАВНО ОСНОВАНИЕ</w:t>
      </w:r>
    </w:p>
    <w:p>
      <w:pPr>
        <w:pStyle w:val="Default"/>
        <w:spacing w:after="200" w:line="276" w:lineRule="auto"/>
        <w:ind w:left="720"/>
        <w:contextualSpacing/>
        <w:jc w:val="both"/>
        <w:rPr>
          <w:noProof/>
          <w:color w:val="auto"/>
        </w:rPr>
      </w:pPr>
      <w:r>
        <w:rPr>
          <w:noProof/>
          <w:color w:val="auto"/>
        </w:rPr>
        <w:t xml:space="preserve">Съгласно член 6, параграф 3 от Регламента на ЕС относно дървения материал „Комисията може да приема делегирани актове [...] относно новите приложими критерии за оценка на риска, които могат да бъдат необходими в допълнение към посочените“ в Регламента на ЕС относно дървения материал. В член 8, параграф 7 от Регламента на ЕС относно дървения материал се предвижда възможността да се приемат делегирани актове с цел допълване на процедурните правила относно признаването и оттеглянето на признаване на организациите за мониторинг, ако опитът изисква това. Съгласно член 14 от Регламента на ЕС относно дървения материал Комисията „може да приема делегирани актове [...], като изменя и допълва списъка на дървения материал и изделията от дървен материал, който се съдържа в приложението“ към същия регламент. </w:t>
      </w:r>
    </w:p>
    <w:p>
      <w:pPr>
        <w:pStyle w:val="Default"/>
        <w:spacing w:after="200" w:line="276" w:lineRule="auto"/>
        <w:ind w:left="720"/>
        <w:contextualSpacing/>
        <w:jc w:val="both"/>
        <w:rPr>
          <w:noProof/>
          <w:color w:val="auto"/>
        </w:rPr>
      </w:pPr>
    </w:p>
    <w:p>
      <w:pPr>
        <w:pStyle w:val="Default"/>
        <w:spacing w:after="200" w:line="276" w:lineRule="auto"/>
        <w:ind w:left="720"/>
        <w:contextualSpacing/>
        <w:jc w:val="both"/>
        <w:rPr>
          <w:noProof/>
          <w:color w:val="auto"/>
        </w:rPr>
      </w:pPr>
      <w:r>
        <w:rPr>
          <w:noProof/>
          <w:color w:val="auto"/>
        </w:rPr>
        <w:t>Член 15, параграф 1 от Регламента на ЕС относно дървения материал постановява, че „[п]равомощията да приема делегираните актове, посочени в член 6, параграф 3, член 8, параграф 7 и член</w:t>
      </w:r>
      <w:r>
        <w:rPr>
          <w:noProof/>
          <w:color w:val="auto"/>
          <w:lang w:val="en-GB"/>
        </w:rPr>
        <w:t> </w:t>
      </w:r>
      <w:r>
        <w:rPr>
          <w:noProof/>
          <w:color w:val="auto"/>
        </w:rPr>
        <w:t>14, се предоставят на Комисията за срок от седем години, считано от 2 декември 2010 г.“. В него се предвижда също така, че „[д]елегирането на правомощия се подновява автоматично за срокове с еднаква продължителност“, т.е. седем години, „освен ако Европейският парламент или Съветът не го оттеглят в съответствие с член 16“ от Регламента на ЕС относно дървения материал. По този начин делегирането на правомощия беше последно подновено автоматично от 2 декември 2017 г. до 1 декември 2024 г.</w:t>
      </w:r>
    </w:p>
    <w:p>
      <w:pPr>
        <w:pStyle w:val="Default"/>
        <w:spacing w:after="200" w:line="276" w:lineRule="auto"/>
        <w:ind w:left="720"/>
        <w:contextualSpacing/>
        <w:jc w:val="both"/>
        <w:rPr>
          <w:noProof/>
          <w:color w:val="auto"/>
        </w:rPr>
      </w:pPr>
    </w:p>
    <w:p>
      <w:pPr>
        <w:pStyle w:val="Default"/>
        <w:spacing w:after="200" w:line="276" w:lineRule="auto"/>
        <w:ind w:left="720"/>
        <w:contextualSpacing/>
        <w:jc w:val="both"/>
        <w:rPr>
          <w:noProof/>
          <w:color w:val="auto"/>
        </w:rPr>
      </w:pPr>
      <w:r>
        <w:rPr>
          <w:noProof/>
          <w:color w:val="auto"/>
        </w:rPr>
        <w:t>Член 15, параграф 1 от Регламента на ЕС относно дървения материал освен това задължава Комисията да „представя доклад относно делегираните правомощия не по-късно от три месеца преди края на срок от три години, считано от началната дата на прилагане“ на същия регламент, която е 3 март 2013 г. Комисията представи такъв доклад на 18 февруари 2016 г.</w:t>
      </w:r>
      <w:r>
        <w:rPr>
          <w:rStyle w:val="FootnoteReference"/>
          <w:noProof/>
          <w:color w:val="auto"/>
        </w:rPr>
        <w:footnoteReference w:id="5"/>
      </w:r>
      <w:r>
        <w:rPr>
          <w:noProof/>
          <w:color w:val="auto"/>
        </w:rPr>
        <w:t>.</w:t>
      </w:r>
    </w:p>
    <w:p>
      <w:pPr>
        <w:pStyle w:val="Default"/>
        <w:spacing w:after="200" w:line="276" w:lineRule="auto"/>
        <w:ind w:left="720"/>
        <w:contextualSpacing/>
        <w:jc w:val="both"/>
        <w:rPr>
          <w:noProof/>
          <w:color w:val="auto"/>
        </w:rPr>
      </w:pPr>
    </w:p>
    <w:p>
      <w:pPr>
        <w:pStyle w:val="Default"/>
        <w:ind w:left="720"/>
        <w:contextualSpacing/>
        <w:jc w:val="both"/>
        <w:rPr>
          <w:noProof/>
          <w:color w:val="auto"/>
        </w:rPr>
      </w:pPr>
      <w:r>
        <w:rPr>
          <w:noProof/>
          <w:color w:val="auto"/>
        </w:rPr>
        <w:t>В член 15, параграф 1 се упоменава само първият срок за докладване преди края на тригодишния срок, следващ началната дата на прилагане (т.е. декември 2015 г.), и тригодишните интервали на докладване не са синхронизирани със седемгодишния срок на подновяване. При все това от практиката при докладването относно делегираните правомощия</w:t>
      </w:r>
      <w:r>
        <w:rPr>
          <w:rStyle w:val="FootnoteReference"/>
          <w:noProof/>
          <w:color w:val="auto"/>
        </w:rPr>
        <w:footnoteReference w:id="6"/>
      </w:r>
      <w:r>
        <w:rPr>
          <w:noProof/>
          <w:color w:val="auto"/>
        </w:rPr>
        <w:t>, както и от факта, че [в текста на регламента на английски език] по отношение на тригодишния срок е употребен неопределителният член „а“, може да се направи извод, че се очаква след посочения срок Комисията да докладва относно упражняването на делегираните правомощия на всеки три години.</w:t>
      </w:r>
    </w:p>
    <w:p>
      <w:pPr>
        <w:pStyle w:val="Default"/>
        <w:ind w:left="720"/>
        <w:contextualSpacing/>
        <w:jc w:val="both"/>
        <w:rPr>
          <w:noProof/>
        </w:rPr>
      </w:pPr>
    </w:p>
    <w:p>
      <w:pPr>
        <w:pStyle w:val="Default"/>
        <w:spacing w:after="200" w:line="276" w:lineRule="auto"/>
        <w:ind w:left="720"/>
        <w:contextualSpacing/>
        <w:jc w:val="both"/>
        <w:rPr>
          <w:noProof/>
        </w:rPr>
      </w:pPr>
      <w:r>
        <w:rPr>
          <w:noProof/>
        </w:rPr>
        <w:t>Водена от това разбиране, Комисията представя настоящия втори доклад относно делегирането на правомощия.</w:t>
      </w:r>
    </w:p>
    <w:p>
      <w:pPr>
        <w:pStyle w:val="ListParagraph"/>
        <w:numPr>
          <w:ilvl w:val="0"/>
          <w:numId w:val="1"/>
        </w:numPr>
        <w:rPr>
          <w:rFonts w:ascii="Times New Roman" w:hAnsi="Times New Roman" w:cs="Times New Roman"/>
          <w:b/>
          <w:noProof/>
          <w:sz w:val="24"/>
          <w:szCs w:val="24"/>
        </w:rPr>
      </w:pPr>
      <w:r>
        <w:rPr>
          <w:rFonts w:ascii="Times New Roman" w:hAnsi="Times New Roman"/>
          <w:b/>
          <w:noProof/>
          <w:sz w:val="24"/>
        </w:rPr>
        <w:t>УПРАЖНЯВАНЕ НА ДЕЛЕГИРАНЕТО</w:t>
      </w:r>
    </w:p>
    <w:p>
      <w:pPr>
        <w:pStyle w:val="Default"/>
        <w:spacing w:after="200" w:line="276" w:lineRule="auto"/>
        <w:ind w:left="720"/>
        <w:contextualSpacing/>
        <w:jc w:val="both"/>
        <w:rPr>
          <w:rFonts w:eastAsia="Times New Roman"/>
          <w:noProof/>
          <w:color w:val="auto"/>
        </w:rPr>
      </w:pPr>
      <w:r>
        <w:rPr>
          <w:noProof/>
        </w:rPr>
        <w:t>По време на втория период след началната дата на прилагане на Регламента на ЕС относно дървения материал, до датата на приемане на настоящия доклад Комисията не е упражнявала делегираните ѝ правомощия. През 2017 г. Комисията започна проучване за оценка на въздействието. То беше последвано от първия преглед на Регламента на ЕС относно дървения материал</w:t>
      </w:r>
      <w:r>
        <w:rPr>
          <w:rStyle w:val="FootnoteReference"/>
          <w:noProof/>
        </w:rPr>
        <w:footnoteReference w:id="7"/>
      </w:r>
      <w:r>
        <w:rPr>
          <w:noProof/>
        </w:rPr>
        <w:t>, като една от констатациите от този преглед беше, че сегашният продуктов обхват на този регламент не е оптимален, тъй като е непълен.</w:t>
      </w:r>
      <w:r>
        <w:rPr>
          <w:noProof/>
          <w:color w:val="auto"/>
        </w:rPr>
        <w:t xml:space="preserve"> Задачата на проучването беше да се анализира доколко сегашният продуктов обхват на Регламента на ЕС относно дървения материал е адекватен по отношение на целта, която се преследва с този регламент, а именно — борбата срещу незаконната сеч и свързаната с тази сеч търговия, и да се направи оценка на евентуалните значителни икономически, екологични и социални въздействия на вариантите за промяна на продуктовия му обхват. Проучването включваше и обществена консултация, която се проведе от 29 януари до 24 април 2018 г.</w:t>
      </w:r>
      <w:r>
        <w:rPr>
          <w:rStyle w:val="FootnoteReference"/>
          <w:noProof/>
          <w:color w:val="auto"/>
        </w:rPr>
        <w:footnoteReference w:id="8"/>
      </w:r>
      <w:r>
        <w:rPr>
          <w:noProof/>
          <w:color w:val="auto"/>
        </w:rPr>
        <w:t>. Комисията ще предприеме своевременно последващи действия във връзка с проучването за оценка на въздействието.</w:t>
      </w:r>
    </w:p>
    <w:p>
      <w:pPr>
        <w:pStyle w:val="ListParagraph"/>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98031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sz w:val="18"/>
        </w:rPr>
        <w:t>Регламент (ЕC) № 995/2010 на Европейския парламент и на Съвета от 20 октомври 2010 г. за определяне на задълженията на операторите, които пускат на пазара дървен материал и изделия от дървен материал (ОВ L 295, 12.11.2010 г., стр. 23).</w:t>
      </w:r>
    </w:p>
  </w:footnote>
  <w:footnote w:id="2">
    <w:p>
      <w:pPr>
        <w:pStyle w:val="FootnoteText"/>
        <w:jc w:val="both"/>
      </w:pPr>
      <w:r>
        <w:rPr>
          <w:rStyle w:val="FootnoteReference"/>
        </w:rPr>
        <w:footnoteRef/>
      </w:r>
      <w:r>
        <w:t xml:space="preserve"> </w:t>
      </w:r>
      <w:r>
        <w:rPr>
          <w:rFonts w:ascii="Times New Roman" w:hAnsi="Times New Roman"/>
          <w:color w:val="444444"/>
          <w:sz w:val="18"/>
        </w:rPr>
        <w:t>Съобщение на Комисията до Съвета и Европейския парламент „Предложение за план за действие на ЕС за прилагане на законодателството в областта на горите, управлението и търговията“ (COM/2003/0251 final).</w:t>
      </w:r>
    </w:p>
  </w:footnote>
  <w:footnote w:id="3">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Регламент за изпълнение (ЕС) № 607/2012 на Комисията (OВ L 177, 7.7.2012 г., стр. 16—18).</w:t>
      </w:r>
    </w:p>
  </w:footnote>
  <w:footnote w:id="4">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Делегиран регламент (ЕС) № 363/2012 на Комисията (ОВ L 115, 27.4.2012 г., стр. 12—16).</w:t>
      </w:r>
    </w:p>
  </w:footnote>
  <w:footnote w:id="5">
    <w:p>
      <w:pPr>
        <w:pStyle w:val="FootnoteText"/>
      </w:pPr>
      <w:r>
        <w:rPr>
          <w:rStyle w:val="FootnoteReference"/>
          <w:rFonts w:ascii="Times New Roman" w:hAnsi="Times New Roman"/>
          <w:sz w:val="18"/>
        </w:rPr>
        <w:footnoteRef/>
      </w:r>
      <w:r>
        <w:rPr>
          <w:rFonts w:ascii="Times New Roman" w:hAnsi="Times New Roman"/>
          <w:sz w:val="18"/>
        </w:rPr>
        <w:t xml:space="preserve"> </w:t>
      </w:r>
      <w:hyperlink r:id="rId1">
        <w:r>
          <w:rPr>
            <w:rStyle w:val="Hyperlink"/>
            <w:rFonts w:ascii="Times New Roman" w:hAnsi="Times New Roman"/>
            <w:sz w:val="18"/>
          </w:rPr>
          <w:t>https://eur-lex.europa.eu/legal-content/BG/TXT/?uri=CELEX:52016DC0060</w:t>
        </w:r>
      </w:hyperlink>
      <w:r>
        <w:rPr>
          <w:rFonts w:ascii="Times New Roman" w:hAnsi="Times New Roman"/>
          <w:sz w:val="18"/>
        </w:rPr>
        <w:t xml:space="preserve"> </w:t>
      </w:r>
    </w:p>
  </w:footnote>
  <w:footnote w:id="6">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sz w:val="18"/>
        </w:rPr>
        <w:t>В разпоредбите, следващи договорената стандартна клауза 17 от Общото споразумение, поместено в приложението към Междуинституционалното споразумение между Европейския парламент, Съвета на Европейския съюз и Европейската комисия от 13 април 2016 г. за по-добро законотворчество (OВ L 123, 12.5.2016 г., стр. 1), се предвижда, че Комисията изготвя доклад относно делегираните правомощия не по-късно от девет месеца преди края на „всеки“ период.</w:t>
      </w:r>
    </w:p>
  </w:footnote>
  <w:footnote w:id="7">
    <w:p>
      <w:pPr>
        <w:pStyle w:val="FootnoteText"/>
        <w:jc w:val="both"/>
        <w:rPr>
          <w:sz w:val="18"/>
          <w:szCs w:val="18"/>
        </w:rPr>
      </w:pPr>
      <w:r>
        <w:rPr>
          <w:rStyle w:val="FootnoteReference"/>
          <w:rFonts w:ascii="Times New Roman" w:hAnsi="Times New Roman"/>
          <w:sz w:val="18"/>
        </w:rPr>
        <w:footnoteRef/>
      </w:r>
      <w:r>
        <w:rPr>
          <w:rFonts w:ascii="Times New Roman" w:hAnsi="Times New Roman"/>
          <w:sz w:val="18"/>
        </w:rPr>
        <w:t xml:space="preserve"> Доклад на Комисията до Европейския парламент и Съвета относно Регламент (ЕC) № 995/2010 на Европейския парламент и на Съвета от 20 октомври 2010 г. за определяне на задълженията на операторите, които пускат на пазара дървен материал и изделия от дървен материал (COM/2016/74 final).</w:t>
      </w:r>
    </w:p>
  </w:footnote>
  <w:footnote w:id="8">
    <w:p>
      <w:pPr>
        <w:pStyle w:val="FootnoteText"/>
      </w:pPr>
      <w:r>
        <w:rPr>
          <w:rStyle w:val="FootnoteReference"/>
        </w:rPr>
        <w:footnoteRef/>
      </w:r>
      <w:r>
        <w:t xml:space="preserve"> </w:t>
      </w:r>
      <w:r>
        <w:rPr>
          <w:rFonts w:ascii="Times New Roman" w:hAnsi="Times New Roman"/>
          <w:sz w:val="18"/>
        </w:rPr>
        <w:t>Резултатите от обществената консултация са на разположение на адрес: https://ec.europa.eu/info/consultations/public-consultation-product-scope-eu-timber-regulation_bg.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16557"/>
    <w:multiLevelType w:val="hybridMultilevel"/>
    <w:tmpl w:val="B44C79B0"/>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F5F3740"/>
    <w:multiLevelType w:val="hybridMultilevel"/>
    <w:tmpl w:val="BB2E44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29634E4-2C9D-4968-8308-51B35F0E4DBB"/>
    <w:docVar w:name="LW_COVERPAGE_TYPE" w:val="1"/>
    <w:docVar w:name="LW_CROSSREFERENCE" w:val="&lt;UNUSED&gt;"/>
    <w:docVar w:name="LW_DocType" w:val="NORMAL"/>
    <w:docVar w:name="LW_EMISSION" w:val="18.2.2019"/>
    <w:docVar w:name="LW_EMISSION_ISODATE" w:val="2019-02-1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91?\u1087?\u1088?\u1072?\u1078?\u1085?\u1103?\u1074?\u1072?\u1085?\u1077?\u1090?\u1086? \u1085?\u1072? \u1087?\u1088?\u1072?\u1074?\u1086?\u1084?\u1086?\u1097?\u1080?\u1103?\u1090?\u1072?, \u1076?\u1077?\u1083?\u1077?\u1075?\u1080?\u1088?\u1072?\u1085?\u1080? \u1085?\u1072? \u1050?\u1086?\u1084?\u1080?\u1089?\u1080?\u1103?\u1090?\u1072? \u1089?\u1098?\u1075?\u1083?\u1072?\u1089?\u1085?\u1086? \u1056?\u1077?\u1075?\u1083?\u1072?\u1084?\u1077?\u1085?\u1090? (\u1045?C) \u8470? 995/2010 \u1085?\u1072? \u1045?\u1074?\u1088?\u1086?\u1087?\u1077?\u1081?\u1089?\u1082?\u1080?\u1103? \u1087?\u1072?\u1088?\u1083?\u1072?\u1084?\u1077?\u1085?\u1090? \u1080? \u1085?\u1072? \u1057?\u1098?\u1074?\u1077?\u1090?\u1072? \u1086?\u1090? 20 \u1086?\u1082?\u1090?\u1086?\u1084?\u1074?\u1088?\u1080? 2010 \u1075?. \u1079?\u1072? \u1086?\u1087?\u1088?\u1077?\u1076?\u1077?\u1083?\u1103?\u1085?\u1077? \u1085?\u1072? \u1079?\u1072?\u1076?\u1098?\u1083?\u1078?\u1077?\u1085?\u1080?\u1103?\u1090?\u1072? \u1085?\u1072? \u1086?\u1087?\u1077?\u1088?\u1072?\u1090?\u1086?\u1088?\u1080?\u1090?\u1077?, \u1082?\u1086?\u1080?\u1090?\u1086? \u1087?\u1091?\u1089?\u1082?\u1072?\u1090? \u1085?\u1072? \u1087?\u1072?\u1079?\u1072?\u1088?\u1072? \u1076?\u1098?\u1088?\u1074?\u1077?\u1085? \u1084?\u1072?\u1090?\u1077?\u1088?\u1080?\u1072?\u1083? \u1080? \u1080?\u1079?\u1076?\u1077?\u1083?\u1080?\u1103? \u1086?\u1090? \u1076?\u1098?\u1088?\u1074?\u1077?\u1085? \u1084?\u1072?\u1090?\u1077?\u1088?\u1080?\u1072?\u1083? (\u1056?\u1077?\u1075?\u1083?\u1072?\u1084?\u1077?\u1085?\u1090?\u1072? \u1085?\u1072? \u1045?\u1057? \u1086?\u1090?\u1085?\u1086?\u1089?\u1085?\u1086? \u1076?\u1098?\u1088?\u1074?\u1077?\u1085?\u1080?\u1103? \u1084?\u1072?\u1090?\u1077?\u1088?\u1080?\u1072?\u1083?)&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520662">
      <w:bodyDiv w:val="1"/>
      <w:marLeft w:val="0"/>
      <w:marRight w:val="0"/>
      <w:marTop w:val="0"/>
      <w:marBottom w:val="0"/>
      <w:divBdr>
        <w:top w:val="none" w:sz="0" w:space="0" w:color="auto"/>
        <w:left w:val="none" w:sz="0" w:space="0" w:color="auto"/>
        <w:bottom w:val="none" w:sz="0" w:space="0" w:color="auto"/>
        <w:right w:val="none" w:sz="0" w:space="0" w:color="auto"/>
      </w:divBdr>
    </w:div>
    <w:div w:id="1112552352">
      <w:bodyDiv w:val="1"/>
      <w:marLeft w:val="0"/>
      <w:marRight w:val="0"/>
      <w:marTop w:val="0"/>
      <w:marBottom w:val="0"/>
      <w:divBdr>
        <w:top w:val="none" w:sz="0" w:space="0" w:color="auto"/>
        <w:left w:val="none" w:sz="0" w:space="0" w:color="auto"/>
        <w:bottom w:val="none" w:sz="0" w:space="0" w:color="auto"/>
        <w:right w:val="none" w:sz="0" w:space="0" w:color="auto"/>
      </w:divBdr>
    </w:div>
    <w:div w:id="1134132177">
      <w:bodyDiv w:val="1"/>
      <w:marLeft w:val="0"/>
      <w:marRight w:val="0"/>
      <w:marTop w:val="0"/>
      <w:marBottom w:val="0"/>
      <w:divBdr>
        <w:top w:val="none" w:sz="0" w:space="0" w:color="auto"/>
        <w:left w:val="none" w:sz="0" w:space="0" w:color="auto"/>
        <w:bottom w:val="none" w:sz="0" w:space="0" w:color="auto"/>
        <w:right w:val="none" w:sz="0" w:space="0" w:color="auto"/>
      </w:divBdr>
      <w:divsChild>
        <w:div w:id="729231795">
          <w:marLeft w:val="0"/>
          <w:marRight w:val="0"/>
          <w:marTop w:val="0"/>
          <w:marBottom w:val="0"/>
          <w:divBdr>
            <w:top w:val="none" w:sz="0" w:space="0" w:color="auto"/>
            <w:left w:val="none" w:sz="0" w:space="0" w:color="auto"/>
            <w:bottom w:val="none" w:sz="0" w:space="0" w:color="auto"/>
            <w:right w:val="none" w:sz="0" w:space="0" w:color="auto"/>
          </w:divBdr>
          <w:divsChild>
            <w:div w:id="377315876">
              <w:marLeft w:val="0"/>
              <w:marRight w:val="0"/>
              <w:marTop w:val="0"/>
              <w:marBottom w:val="0"/>
              <w:divBdr>
                <w:top w:val="none" w:sz="0" w:space="0" w:color="auto"/>
                <w:left w:val="none" w:sz="0" w:space="0" w:color="auto"/>
                <w:bottom w:val="none" w:sz="0" w:space="0" w:color="auto"/>
                <w:right w:val="none" w:sz="0" w:space="0" w:color="auto"/>
              </w:divBdr>
              <w:divsChild>
                <w:div w:id="1226337271">
                  <w:marLeft w:val="0"/>
                  <w:marRight w:val="0"/>
                  <w:marTop w:val="0"/>
                  <w:marBottom w:val="0"/>
                  <w:divBdr>
                    <w:top w:val="none" w:sz="0" w:space="0" w:color="auto"/>
                    <w:left w:val="none" w:sz="0" w:space="0" w:color="auto"/>
                    <w:bottom w:val="none" w:sz="0" w:space="0" w:color="auto"/>
                    <w:right w:val="none" w:sz="0" w:space="0" w:color="auto"/>
                  </w:divBdr>
                  <w:divsChild>
                    <w:div w:id="1502157547">
                      <w:marLeft w:val="1"/>
                      <w:marRight w:val="1"/>
                      <w:marTop w:val="0"/>
                      <w:marBottom w:val="0"/>
                      <w:divBdr>
                        <w:top w:val="none" w:sz="0" w:space="0" w:color="auto"/>
                        <w:left w:val="none" w:sz="0" w:space="0" w:color="auto"/>
                        <w:bottom w:val="none" w:sz="0" w:space="0" w:color="auto"/>
                        <w:right w:val="none" w:sz="0" w:space="0" w:color="auto"/>
                      </w:divBdr>
                      <w:divsChild>
                        <w:div w:id="786507227">
                          <w:marLeft w:val="0"/>
                          <w:marRight w:val="0"/>
                          <w:marTop w:val="0"/>
                          <w:marBottom w:val="0"/>
                          <w:divBdr>
                            <w:top w:val="none" w:sz="0" w:space="0" w:color="auto"/>
                            <w:left w:val="none" w:sz="0" w:space="0" w:color="auto"/>
                            <w:bottom w:val="none" w:sz="0" w:space="0" w:color="auto"/>
                            <w:right w:val="none" w:sz="0" w:space="0" w:color="auto"/>
                          </w:divBdr>
                          <w:divsChild>
                            <w:div w:id="755322526">
                              <w:marLeft w:val="0"/>
                              <w:marRight w:val="0"/>
                              <w:marTop w:val="0"/>
                              <w:marBottom w:val="360"/>
                              <w:divBdr>
                                <w:top w:val="none" w:sz="0" w:space="0" w:color="auto"/>
                                <w:left w:val="none" w:sz="0" w:space="0" w:color="auto"/>
                                <w:bottom w:val="none" w:sz="0" w:space="0" w:color="auto"/>
                                <w:right w:val="none" w:sz="0" w:space="0" w:color="auto"/>
                              </w:divBdr>
                              <w:divsChild>
                                <w:div w:id="255752448">
                                  <w:marLeft w:val="0"/>
                                  <w:marRight w:val="0"/>
                                  <w:marTop w:val="0"/>
                                  <w:marBottom w:val="0"/>
                                  <w:divBdr>
                                    <w:top w:val="none" w:sz="0" w:space="0" w:color="auto"/>
                                    <w:left w:val="none" w:sz="0" w:space="0" w:color="auto"/>
                                    <w:bottom w:val="none" w:sz="0" w:space="0" w:color="auto"/>
                                    <w:right w:val="none" w:sz="0" w:space="0" w:color="auto"/>
                                  </w:divBdr>
                                  <w:divsChild>
                                    <w:div w:id="1997759792">
                                      <w:marLeft w:val="0"/>
                                      <w:marRight w:val="0"/>
                                      <w:marTop w:val="0"/>
                                      <w:marBottom w:val="0"/>
                                      <w:divBdr>
                                        <w:top w:val="none" w:sz="0" w:space="0" w:color="auto"/>
                                        <w:left w:val="none" w:sz="0" w:space="0" w:color="auto"/>
                                        <w:bottom w:val="none" w:sz="0" w:space="0" w:color="auto"/>
                                        <w:right w:val="none" w:sz="0" w:space="0" w:color="auto"/>
                                      </w:divBdr>
                                      <w:divsChild>
                                        <w:div w:id="1272085453">
                                          <w:marLeft w:val="0"/>
                                          <w:marRight w:val="0"/>
                                          <w:marTop w:val="0"/>
                                          <w:marBottom w:val="0"/>
                                          <w:divBdr>
                                            <w:top w:val="none" w:sz="0" w:space="0" w:color="auto"/>
                                            <w:left w:val="none" w:sz="0" w:space="0" w:color="auto"/>
                                            <w:bottom w:val="none" w:sz="0" w:space="0" w:color="auto"/>
                                            <w:right w:val="none" w:sz="0" w:space="0" w:color="auto"/>
                                          </w:divBdr>
                                        </w:div>
                                        <w:div w:id="419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TXT/?uri=CELEX:52016DC0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005ACBD-586B-46EC-93D8-F7E6B954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1106</Words>
  <Characters>6075</Characters>
  <Application>Microsoft Office Word</Application>
  <DocSecurity>0</DocSecurity>
  <Lines>119</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25</cp:revision>
  <cp:lastPrinted>2018-10-24T07:05:00Z</cp:lastPrinted>
  <dcterms:created xsi:type="dcterms:W3CDTF">2019-02-04T09:16:00Z</dcterms:created>
  <dcterms:modified xsi:type="dcterms:W3CDTF">2019-02-18T09:11:00Z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