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8E66DE4-644E-4060-BE1C-B218AF078672" style="width:450.75pt;height:420.75pt">
            <v:imagedata r:id="rId9" o:title=""/>
          </v:shape>
        </w:pict>
      </w:r>
    </w:p>
    <w:bookmarkEnd w:id="0"/>
    <w:p>
      <w:pPr>
        <w:tabs>
          <w:tab w:val="left" w:pos="1534"/>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caps/>
          <w:noProof/>
          <w:sz w:val="24"/>
          <w:szCs w:val="24"/>
        </w:rPr>
      </w:pPr>
      <w:bookmarkStart w:id="1" w:name="_GoBack"/>
      <w:bookmarkEnd w:id="1"/>
      <w:r>
        <w:rPr>
          <w:rFonts w:ascii="Times New Roman" w:hAnsi="Times New Roman"/>
          <w:caps/>
          <w:noProof/>
          <w:sz w:val="24"/>
        </w:rPr>
        <w:lastRenderedPageBreak/>
        <w:t xml:space="preserve">Проект на </w:t>
      </w:r>
    </w:p>
    <w:p>
      <w:pPr>
        <w:jc w:val="center"/>
        <w:rPr>
          <w:rFonts w:ascii="Times New Roman" w:hAnsi="Times New Roman" w:cs="Times New Roman"/>
          <w:b/>
          <w:caps/>
          <w:noProof/>
          <w:sz w:val="24"/>
          <w:szCs w:val="24"/>
        </w:rPr>
      </w:pPr>
      <w:r>
        <w:rPr>
          <w:rFonts w:ascii="Times New Roman" w:hAnsi="Times New Roman"/>
          <w:b/>
          <w:caps/>
          <w:noProof/>
          <w:sz w:val="24"/>
        </w:rPr>
        <w:t>Решение № .../2019 на Съвета за асоцииране ЕС—Украйна</w:t>
      </w:r>
    </w:p>
    <w:p>
      <w:pPr>
        <w:jc w:val="center"/>
        <w:rPr>
          <w:rFonts w:ascii="Times New Roman" w:hAnsi="Times New Roman" w:cs="Times New Roman"/>
          <w:b/>
          <w:noProof/>
          <w:sz w:val="24"/>
          <w:szCs w:val="24"/>
        </w:rPr>
      </w:pPr>
      <w:r>
        <w:rPr>
          <w:rFonts w:ascii="Times New Roman" w:hAnsi="Times New Roman"/>
          <w:b/>
          <w:noProof/>
          <w:sz w:val="24"/>
        </w:rPr>
        <w:t>от … 2019 година</w:t>
      </w:r>
    </w:p>
    <w:p>
      <w:pPr>
        <w:jc w:val="center"/>
        <w:rPr>
          <w:rFonts w:ascii="Times New Roman" w:hAnsi="Times New Roman" w:cs="Times New Roman"/>
          <w:b/>
          <w:noProof/>
          <w:sz w:val="24"/>
          <w:szCs w:val="24"/>
        </w:rPr>
      </w:pPr>
      <w:r>
        <w:rPr>
          <w:rFonts w:ascii="Times New Roman" w:hAnsi="Times New Roman"/>
          <w:b/>
          <w:noProof/>
          <w:sz w:val="24"/>
        </w:rPr>
        <w:t>за изменение на приложение XXVII към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p>
    <w:p>
      <w:pPr>
        <w:jc w:val="center"/>
        <w:rPr>
          <w:rFonts w:ascii="Times New Roman" w:hAnsi="Times New Roman" w:cs="Times New Roman"/>
          <w:noProof/>
          <w:sz w:val="24"/>
          <w:szCs w:val="24"/>
        </w:rPr>
      </w:pPr>
    </w:p>
    <w:p>
      <w:pPr>
        <w:rPr>
          <w:rFonts w:ascii="Times New Roman" w:hAnsi="Times New Roman" w:cs="Times New Roman"/>
          <w:caps/>
          <w:noProof/>
          <w:sz w:val="24"/>
          <w:szCs w:val="24"/>
        </w:rPr>
      </w:pPr>
      <w:r>
        <w:rPr>
          <w:rFonts w:ascii="Times New Roman" w:hAnsi="Times New Roman"/>
          <w:caps/>
          <w:noProof/>
          <w:sz w:val="24"/>
        </w:rPr>
        <w:t xml:space="preserve">Съветът за асоцииране ЕС — Украйна, </w:t>
      </w:r>
    </w:p>
    <w:p>
      <w:pPr>
        <w:jc w:val="both"/>
        <w:rPr>
          <w:rFonts w:ascii="Times New Roman" w:hAnsi="Times New Roman" w:cs="Times New Roman"/>
          <w:noProof/>
          <w:sz w:val="24"/>
          <w:szCs w:val="24"/>
        </w:rPr>
      </w:pPr>
      <w:r>
        <w:rPr>
          <w:rFonts w:ascii="Times New Roman" w:hAnsi="Times New Roman"/>
          <w:noProof/>
          <w:sz w:val="24"/>
        </w:rPr>
        <w:t xml:space="preserve">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и по-специално член 463 от него, </w:t>
      </w:r>
    </w:p>
    <w:p>
      <w:pPr>
        <w:rPr>
          <w:rFonts w:ascii="Times New Roman" w:hAnsi="Times New Roman" w:cs="Times New Roman"/>
          <w:noProof/>
          <w:sz w:val="24"/>
          <w:szCs w:val="24"/>
        </w:rPr>
      </w:pPr>
      <w:r>
        <w:rPr>
          <w:rFonts w:ascii="Times New Roman" w:hAnsi="Times New Roman"/>
          <w:noProof/>
          <w:sz w:val="24"/>
        </w:rPr>
        <w:t xml:space="preserve">като има предвид, че: </w:t>
      </w:r>
    </w:p>
    <w:p>
      <w:pPr>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(наричано по-нататък „Споразумението“) бе подписано на 21 март и 27 юни 2014 г. и влезе в сила на 1 септември 2017 г.</w:t>
      </w:r>
    </w:p>
    <w:p>
      <w:pPr>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 преамбюла на Споразумението се признава желанието на страните да напреднат по отношение на реформата и процеса на сближаване в Украйна, с което да се допринесе за постепенната икономическа интеграция и за задълбочаването на политическото асоцииране, както и за постигането на икономическа интеграция чрез пространно регулаторно сближаване. В преамбюла също така се прави позоваване на ангажиментите на страните за подобряване на енергийната сигурност чрез, наред с другото, засилване на пазарната интеграция и регулаторното сближаване с ключови елементи от достиженията на правото на ЕС. </w:t>
      </w:r>
    </w:p>
    <w:p>
      <w:pPr>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Освен това в двустранния Меморандум за разбирателство между ЕС и Украйна относно стратегическо партньорство в областта на енергетиката от 24 ноември 2016 г. се признава, че целта на засиленото сътрудничество в областта на енергетиката и реформата на енергийния сектор е пълната интеграция на енергийните пазари на ЕС и Украйна.  </w:t>
      </w:r>
    </w:p>
    <w:p>
      <w:pPr>
        <w:ind w:left="720" w:hanging="72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 xml:space="preserve">В член 1 от Споразумението се посочва целта да се подкрепят усилията на Украйна за завършване на прехода към функционираща пазарна икономика посредством, наред с другото, постепенното сближаване на нейното законодателство с това на Съюза. </w:t>
      </w:r>
    </w:p>
    <w:p>
      <w:pPr>
        <w:ind w:left="720" w:hanging="72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Съгласно член 273 от Споразумението страните адаптират своето законодателство, както е посочено в приложение XXVII към Споразумението, за да гарантират, че всички условия за транспорт на електроенергия и газ са обективни, разумни, прозрачни и не водят до дискриминация. </w:t>
      </w:r>
    </w:p>
    <w:p>
      <w:pPr>
        <w:ind w:left="720" w:hanging="720"/>
        <w:jc w:val="both"/>
        <w:rPr>
          <w:rFonts w:ascii="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Освен това с цел постигане на напредък в интеграцията на пазарите, в член 337 от Споразумението се предвижда, че страните продължават и засилват своето текущо сътрудничество по въпросите на енергетиката, включително чрез постепенно сближаване в сектора на енергетиката. </w:t>
      </w:r>
    </w:p>
    <w:p>
      <w:pPr>
        <w:ind w:left="720" w:hanging="720"/>
        <w:jc w:val="both"/>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В член 341 от Споразумението се посочва, че постепенното сближаване в енергийния сектор се осъществява в съответствие с графика, посочен в приложение XXVII от Споразумението.</w:t>
      </w:r>
    </w:p>
    <w:p>
      <w:pPr>
        <w:ind w:left="720" w:hanging="720"/>
        <w:jc w:val="both"/>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В член 474 от Споразумението се потвърждава общият ангажимент на Украйна да извърши постепенно сближаване на своето законодателство с правото на Съюза, включително в енергийния сектор.</w:t>
      </w:r>
    </w:p>
    <w:p>
      <w:pPr>
        <w:ind w:left="720" w:hanging="720"/>
        <w:jc w:val="both"/>
        <w:rPr>
          <w:rFonts w:ascii="Times New Roman" w:hAnsi="Times New Roman" w:cs="Times New Roman"/>
          <w:noProof/>
          <w:sz w:val="24"/>
          <w:szCs w:val="24"/>
        </w:rPr>
      </w:pPr>
      <w:r>
        <w:rPr>
          <w:rFonts w:ascii="Times New Roman" w:hAnsi="Times New Roman"/>
          <w:noProof/>
          <w:sz w:val="24"/>
        </w:rPr>
        <w:t xml:space="preserve"> (9)</w:t>
      </w:r>
      <w:r>
        <w:rPr>
          <w:noProof/>
        </w:rPr>
        <w:tab/>
      </w:r>
      <w:r>
        <w:rPr>
          <w:rFonts w:ascii="Times New Roman" w:hAnsi="Times New Roman"/>
          <w:noProof/>
          <w:sz w:val="24"/>
        </w:rPr>
        <w:t>Достиженията на ЕС в енергийния сектор се промениха значително в периода след приключването на преговорите по Споразумението, както и задълженията на Украйна, произтичащи от прилагането на Споразумението и членството ѝ в Договора за създаване на Енергийна общност. Промяната следва да бъде отразена в приложение XXVII към Споразумението, което следва да бъде съответно изменено.</w:t>
      </w:r>
    </w:p>
    <w:p>
      <w:pPr>
        <w:ind w:left="720" w:hanging="720"/>
        <w:jc w:val="both"/>
        <w:rPr>
          <w:rFonts w:ascii="Times New Roman"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В член 475 от Споразумението се определя в общи линии осъществяването на контрол на напредъка в сближаването на украинското законодателство със законодателството на ЕС, включително аспектите на прилагането и изпълнението. В него се предвижда, че при докладването и оценяването се вземат предвид конкретните условия, определени в Споразумението или в решенията на институционалните органи, създадени по силата на настоящото споразумение.</w:t>
      </w:r>
    </w:p>
    <w:p>
      <w:pPr>
        <w:ind w:left="720" w:hanging="720"/>
        <w:jc w:val="both"/>
        <w:rPr>
          <w:rFonts w:ascii="Times New Roman"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С цел да се гарантира по-ефективно прилагане на реформите в Украйна, е необходимо да бъде укрепен механизмът за осъществяване на контрол на реформата на енергийния сектор, така че постигнатите реформи да имат необратим характер и по този начин да допринесат по траен начин за модернизирането на енергийния сектор.</w:t>
      </w:r>
    </w:p>
    <w:p>
      <w:pPr>
        <w:ind w:left="720" w:hanging="720"/>
        <w:jc w:val="both"/>
        <w:rPr>
          <w:rFonts w:ascii="Times New Roman" w:hAnsi="Times New Roman" w:cs="Times New Roman"/>
          <w:noProof/>
          <w:color w:val="FF0000"/>
          <w:sz w:val="24"/>
          <w:szCs w:val="24"/>
        </w:rPr>
      </w:pPr>
      <w:r>
        <w:rPr>
          <w:rFonts w:ascii="Times New Roman" w:hAnsi="Times New Roman"/>
          <w:noProof/>
          <w:sz w:val="24"/>
        </w:rPr>
        <w:t>(12)</w:t>
      </w:r>
      <w:r>
        <w:rPr>
          <w:noProof/>
        </w:rPr>
        <w:tab/>
      </w:r>
      <w:r>
        <w:rPr>
          <w:rFonts w:ascii="Times New Roman" w:hAnsi="Times New Roman"/>
          <w:noProof/>
          <w:sz w:val="24"/>
        </w:rPr>
        <w:t>По силата на член 463, параграфи 1 и 3 от Споразумението Съветът за асоцииране ЕС—Украйна („Съветът за асоцииране“) може да приема решения, насочени към постигане на целите на Споразумението. По-специално, той може да актуализира или изменя приложенията към Споразумението, като взема предвид развитието на правото на ЕС и приложимите стандарти, установени в международните инструменти, които страните считат за приложими.</w:t>
      </w:r>
    </w:p>
    <w:p>
      <w:pPr>
        <w:ind w:left="720" w:hanging="720"/>
        <w:jc w:val="both"/>
        <w:rPr>
          <w:rFonts w:ascii="Times New Roman" w:hAnsi="Times New Roman" w:cs="Times New Roman"/>
          <w:noProof/>
          <w:sz w:val="24"/>
          <w:szCs w:val="24"/>
        </w:rPr>
      </w:pPr>
      <w:r>
        <w:rPr>
          <w:rFonts w:ascii="Times New Roman" w:hAnsi="Times New Roman"/>
          <w:noProof/>
          <w:sz w:val="24"/>
        </w:rPr>
        <w:t>(13)</w:t>
      </w:r>
      <w:r>
        <w:rPr>
          <w:noProof/>
        </w:rPr>
        <w:tab/>
      </w:r>
      <w:r>
        <w:rPr>
          <w:rFonts w:ascii="Times New Roman" w:hAnsi="Times New Roman"/>
          <w:noProof/>
          <w:sz w:val="24"/>
        </w:rPr>
        <w:t>Ето защо Съветът за асоцииране следва да измени приложение XXVII към Споразумението с цел да се предоставят по-подробни правила за осъществяването на контрол на сближаването на украинското законодателство със законодателството на ЕС в енергийния сектор. За тази цел в приложение XXVII към Споразумението следва да бъдат включени подходящи разпоредби за засилване на процеса за осъществяване на контрол.</w:t>
      </w:r>
    </w:p>
    <w:p>
      <w:pPr>
        <w:ind w:left="720" w:hanging="720"/>
        <w:jc w:val="both"/>
        <w:rPr>
          <w:rFonts w:ascii="Times New Roman" w:hAnsi="Times New Roman" w:cs="Times New Roman"/>
          <w:caps/>
          <w:noProof/>
          <w:sz w:val="24"/>
          <w:szCs w:val="24"/>
        </w:rPr>
      </w:pPr>
      <w:r>
        <w:rPr>
          <w:rFonts w:ascii="Times New Roman" w:hAnsi="Times New Roman"/>
          <w:noProof/>
          <w:sz w:val="24"/>
        </w:rPr>
        <w:t xml:space="preserve"> </w:t>
      </w:r>
      <w:r>
        <w:rPr>
          <w:rFonts w:ascii="Times New Roman" w:hAnsi="Times New Roman"/>
          <w:caps/>
          <w:noProof/>
          <w:sz w:val="24"/>
        </w:rPr>
        <w:t>прие настоящото решение:</w:t>
      </w:r>
    </w:p>
    <w:p>
      <w:pPr>
        <w:ind w:left="720" w:hanging="720"/>
        <w:jc w:val="center"/>
        <w:rPr>
          <w:rFonts w:ascii="Times New Roman" w:hAnsi="Times New Roman" w:cs="Times New Roman"/>
          <w:noProof/>
          <w:sz w:val="24"/>
          <w:szCs w:val="24"/>
        </w:rPr>
      </w:pPr>
      <w:r>
        <w:rPr>
          <w:rFonts w:ascii="Times New Roman" w:hAnsi="Times New Roman"/>
          <w:noProof/>
          <w:sz w:val="24"/>
        </w:rPr>
        <w:t>Член 1</w:t>
      </w:r>
    </w:p>
    <w:p>
      <w:pPr>
        <w:spacing w:after="240"/>
        <w:ind w:left="720" w:hanging="720"/>
        <w:jc w:val="both"/>
        <w:rPr>
          <w:rFonts w:ascii="Times New Roman" w:hAnsi="Times New Roman" w:cs="Times New Roman"/>
          <w:noProof/>
          <w:sz w:val="24"/>
          <w:szCs w:val="24"/>
        </w:rPr>
      </w:pPr>
      <w:r>
        <w:rPr>
          <w:rFonts w:ascii="Times New Roman" w:hAnsi="Times New Roman"/>
          <w:noProof/>
          <w:sz w:val="24"/>
        </w:rPr>
        <w:t>Приложение XXVII към Споразумението се заменя с приложението към настоящото решение.</w:t>
      </w:r>
    </w:p>
    <w:p>
      <w:pPr>
        <w:spacing w:before="240"/>
        <w:ind w:left="720" w:hanging="720"/>
        <w:jc w:val="center"/>
        <w:rPr>
          <w:rFonts w:ascii="Times New Roman" w:hAnsi="Times New Roman" w:cs="Times New Roman"/>
          <w:noProof/>
          <w:sz w:val="24"/>
          <w:szCs w:val="24"/>
        </w:rPr>
      </w:pPr>
      <w:r>
        <w:rPr>
          <w:rFonts w:ascii="Times New Roman" w:hAnsi="Times New Roman"/>
          <w:noProof/>
          <w:sz w:val="24"/>
        </w:rPr>
        <w:t>Член 2</w:t>
      </w:r>
    </w:p>
    <w:p>
      <w:pPr>
        <w:ind w:left="720" w:hanging="720"/>
        <w:jc w:val="both"/>
        <w:rPr>
          <w:rFonts w:ascii="Times New Roman" w:hAnsi="Times New Roman" w:cs="Times New Roman"/>
          <w:noProof/>
          <w:sz w:val="24"/>
          <w:szCs w:val="24"/>
        </w:rPr>
      </w:pPr>
      <w:r>
        <w:rPr>
          <w:rFonts w:ascii="Times New Roman" w:hAnsi="Times New Roman"/>
          <w:noProof/>
          <w:sz w:val="24"/>
        </w:rPr>
        <w:t xml:space="preserve">Настоящото решение влиза в сила в деня на приемането му. </w:t>
      </w:r>
    </w:p>
    <w:p>
      <w:pPr>
        <w:rPr>
          <w:rFonts w:ascii="Times New Roman" w:hAnsi="Times New Roman" w:cs="Times New Roman"/>
          <w:noProof/>
          <w:sz w:val="24"/>
          <w:szCs w:val="24"/>
        </w:rPr>
      </w:pPr>
      <w:r>
        <w:rPr>
          <w:noProof/>
        </w:rPr>
        <w:br w:type="page"/>
      </w:r>
      <w:r>
        <w:rPr>
          <w:rFonts w:ascii="Times New Roman" w:hAnsi="Times New Roman"/>
          <w:noProof/>
          <w:sz w:val="24"/>
        </w:rPr>
        <w:t xml:space="preserve">Съставено в Брюксел на […] година. </w:t>
      </w:r>
    </w:p>
    <w:p>
      <w:pPr>
        <w:ind w:left="720" w:hanging="720"/>
        <w:jc w:val="right"/>
        <w:rPr>
          <w:rFonts w:ascii="Times New Roman" w:hAnsi="Times New Roman" w:cs="Times New Roman"/>
          <w:i/>
          <w:noProof/>
          <w:sz w:val="24"/>
          <w:szCs w:val="24"/>
        </w:rPr>
      </w:pPr>
      <w:r>
        <w:rPr>
          <w:rFonts w:ascii="Times New Roman" w:hAnsi="Times New Roman"/>
          <w:i/>
          <w:noProof/>
          <w:sz w:val="24"/>
        </w:rPr>
        <w:t>За Съвета за асоцииране</w:t>
      </w:r>
    </w:p>
    <w:p>
      <w:pPr>
        <w:ind w:left="5760" w:firstLine="720"/>
        <w:rPr>
          <w:rFonts w:ascii="Times New Roman" w:hAnsi="Times New Roman" w:cs="Times New Roman"/>
          <w:i/>
          <w:noProof/>
          <w:sz w:val="24"/>
          <w:szCs w:val="24"/>
        </w:rPr>
      </w:pPr>
      <w:r>
        <w:rPr>
          <w:rFonts w:ascii="Times New Roman" w:hAnsi="Times New Roman"/>
          <w:i/>
          <w:noProof/>
          <w:sz w:val="24"/>
        </w:rPr>
        <w:t>Председател</w:t>
      </w:r>
    </w:p>
    <w:p>
      <w:pPr>
        <w:rPr>
          <w:rFonts w:ascii="Times New Roman" w:hAnsi="Times New Roman" w:cs="Times New Roman"/>
          <w:noProof/>
          <w:sz w:val="24"/>
          <w:szCs w:val="24"/>
        </w:rPr>
      </w:pPr>
    </w:p>
    <w:p>
      <w:pPr>
        <w:jc w:val="center"/>
        <w:rPr>
          <w:rFonts w:ascii="Times New Roman" w:hAnsi="Times New Roman" w:cs="Times New Roman"/>
          <w:smallCaps/>
          <w:noProof/>
          <w:sz w:val="24"/>
          <w:szCs w:val="24"/>
        </w:rPr>
      </w:pPr>
    </w:p>
    <w:p>
      <w:pPr>
        <w:rPr>
          <w:rFonts w:ascii="Times New Roman" w:hAnsi="Times New Roman" w:cs="Times New Roman"/>
          <w:smallCaps/>
          <w:noProof/>
          <w:sz w:val="24"/>
          <w:szCs w:val="24"/>
        </w:rPr>
      </w:pPr>
      <w:r>
        <w:rPr>
          <w:noProof/>
        </w:rPr>
        <w:br w:type="page"/>
      </w:r>
    </w:p>
    <w:p>
      <w:pPr>
        <w:jc w:val="center"/>
        <w:rPr>
          <w:rFonts w:ascii="Times New Roman" w:hAnsi="Times New Roman" w:cs="Times New Roman"/>
          <w:b/>
          <w:smallCaps/>
          <w:noProof/>
          <w:sz w:val="24"/>
          <w:szCs w:val="24"/>
        </w:rPr>
      </w:pPr>
      <w:r>
        <w:rPr>
          <w:rFonts w:ascii="Times New Roman" w:hAnsi="Times New Roman"/>
          <w:b/>
          <w:smallCaps/>
          <w:noProof/>
          <w:sz w:val="24"/>
        </w:rPr>
        <w:t>Приложение</w:t>
      </w:r>
    </w:p>
    <w:p>
      <w:pPr>
        <w:jc w:val="center"/>
        <w:rPr>
          <w:rFonts w:ascii="Times New Roman" w:hAnsi="Times New Roman" w:cs="Times New Roman"/>
          <w:b/>
          <w:smallCaps/>
          <w:noProof/>
          <w:sz w:val="24"/>
          <w:szCs w:val="24"/>
        </w:rPr>
      </w:pPr>
      <w:r>
        <w:rPr>
          <w:rFonts w:ascii="Times New Roman" w:hAnsi="Times New Roman"/>
          <w:b/>
          <w:smallCaps/>
          <w:noProof/>
          <w:sz w:val="24"/>
        </w:rPr>
        <w:t>„Приложение XXVII към глава 1</w:t>
      </w:r>
    </w:p>
    <w:p>
      <w:pPr>
        <w:jc w:val="center"/>
        <w:rPr>
          <w:rFonts w:ascii="Times New Roman" w:hAnsi="Times New Roman" w:cs="Times New Roman"/>
          <w:b/>
          <w:smallCaps/>
          <w:noProof/>
          <w:sz w:val="24"/>
          <w:szCs w:val="24"/>
        </w:rPr>
      </w:pPr>
      <w:r>
        <w:rPr>
          <w:rFonts w:ascii="Times New Roman" w:hAnsi="Times New Roman"/>
          <w:b/>
          <w:smallCaps/>
          <w:noProof/>
          <w:sz w:val="24"/>
        </w:rPr>
        <w:t>Сътрудничество в областта на енергетиката, включително по ядрени въпроси</w:t>
      </w:r>
    </w:p>
    <w:p>
      <w:pPr>
        <w:rPr>
          <w:rFonts w:ascii="Times New Roman" w:hAnsi="Times New Roman" w:cs="Times New Roman"/>
          <w:noProof/>
          <w:sz w:val="24"/>
          <w:szCs w:val="24"/>
        </w:rPr>
      </w:pPr>
    </w:p>
    <w:p>
      <w:pPr>
        <w:jc w:val="center"/>
        <w:rPr>
          <w:rFonts w:ascii="Times New Roman" w:hAnsi="Times New Roman" w:cs="Times New Roman"/>
          <w:caps/>
          <w:noProof/>
          <w:sz w:val="24"/>
          <w:szCs w:val="24"/>
        </w:rPr>
      </w:pPr>
      <w:r>
        <w:rPr>
          <w:rFonts w:ascii="Times New Roman" w:hAnsi="Times New Roman"/>
          <w:caps/>
          <w:noProof/>
          <w:sz w:val="24"/>
        </w:rPr>
        <w:t>Приложение XXVII-1</w:t>
      </w:r>
    </w:p>
    <w:p>
      <w:pPr>
        <w:jc w:val="center"/>
        <w:rPr>
          <w:rFonts w:ascii="Times New Roman" w:hAnsi="Times New Roman" w:cs="Times New Roman"/>
          <w:caps/>
          <w:noProof/>
          <w:sz w:val="24"/>
          <w:szCs w:val="24"/>
        </w:rPr>
      </w:pPr>
      <w:r>
        <w:rPr>
          <w:rFonts w:ascii="Times New Roman" w:hAnsi="Times New Roman"/>
          <w:caps/>
          <w:noProof/>
          <w:sz w:val="24"/>
        </w:rPr>
        <w:t>Осъществяване на контрол на сближаването в енергийния сектор</w:t>
      </w:r>
    </w:p>
    <w:p>
      <w:pPr>
        <w:jc w:val="both"/>
        <w:rPr>
          <w:rFonts w:ascii="Times New Roman" w:hAnsi="Times New Roman" w:cs="Times New Roman"/>
          <w:noProof/>
          <w:sz w:val="24"/>
          <w:szCs w:val="24"/>
        </w:rPr>
      </w:pPr>
      <w:r>
        <w:rPr>
          <w:rFonts w:ascii="Times New Roman" w:hAnsi="Times New Roman"/>
          <w:noProof/>
          <w:sz w:val="24"/>
        </w:rPr>
        <w:t xml:space="preserve">С цел да се укрепи контролът върху сближаването на националното законодателство на Украйна към достиженията на ЕС в енергийния сектор и постигането на трайно модернизиране на енергийния сектор на Украйна, страните прилагат следните допълнителни мерки в съответствие с член 475 параграф 2 от Споразумението. Тези мерки не засягат правата и задълженията на всяка от страните, произтичащи от членството им в Договора за създаване на Енергийна общност. </w:t>
      </w:r>
    </w:p>
    <w:p>
      <w:pPr>
        <w:jc w:val="both"/>
        <w:rPr>
          <w:rFonts w:ascii="Times New Roman" w:hAnsi="Times New Roman" w:cs="Times New Roman"/>
          <w:i/>
          <w:noProof/>
          <w:sz w:val="24"/>
          <w:szCs w:val="24"/>
        </w:rPr>
      </w:pPr>
      <w:r>
        <w:rPr>
          <w:rFonts w:ascii="Times New Roman" w:hAnsi="Times New Roman"/>
          <w:i/>
          <w:noProof/>
          <w:sz w:val="24"/>
        </w:rPr>
        <w:t xml:space="preserve">Ефективно прилагане на достиженията на правото на ЕС </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Европейската комисия информира своевременно Украйна относно всички предложения на Европейската комисия за приемане или промяна на актове на ЕС, с които се изменят достиженията на правото на ЕС, както са изброени в настоящото приложение.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Украйна гарантира ефективното прилагане на сближените национални актове и предприема всички необходими действия, за да отрази в националното си законодателство в енергийния сектор промените, осъществени в законодателството на Съюза, посочено в приложение XXVII-2. По-специално, всеки акт, съответстващ на:  </w:t>
      </w:r>
    </w:p>
    <w:p>
      <w:pPr>
        <w:pStyle w:val="ListParagraph"/>
        <w:numPr>
          <w:ilvl w:val="1"/>
          <w:numId w:val="19"/>
        </w:numPr>
        <w:jc w:val="both"/>
        <w:rPr>
          <w:rFonts w:ascii="Times New Roman" w:hAnsi="Times New Roman" w:cs="Times New Roman"/>
          <w:noProof/>
          <w:sz w:val="24"/>
          <w:szCs w:val="24"/>
        </w:rPr>
      </w:pPr>
      <w:r>
        <w:rPr>
          <w:rFonts w:ascii="Times New Roman" w:hAnsi="Times New Roman"/>
          <w:noProof/>
          <w:sz w:val="24"/>
        </w:rPr>
        <w:t>регламент или решение на ЕС, става част от вътрешната правна уредба на Украйна;</w:t>
      </w:r>
    </w:p>
    <w:p>
      <w:pPr>
        <w:pStyle w:val="ListParagraph"/>
        <w:numPr>
          <w:ilvl w:val="1"/>
          <w:numId w:val="19"/>
        </w:numPr>
        <w:jc w:val="both"/>
        <w:rPr>
          <w:rFonts w:ascii="Times New Roman" w:hAnsi="Times New Roman" w:cs="Times New Roman"/>
          <w:noProof/>
          <w:sz w:val="24"/>
          <w:szCs w:val="24"/>
        </w:rPr>
      </w:pPr>
      <w:r>
        <w:rPr>
          <w:rFonts w:ascii="Times New Roman" w:hAnsi="Times New Roman"/>
          <w:noProof/>
          <w:sz w:val="24"/>
        </w:rPr>
        <w:t xml:space="preserve">директива на ЕС, предоставя на властите на Украйна възможност да изберат формата или метода на прилагане; </w:t>
      </w:r>
    </w:p>
    <w:p>
      <w:pPr>
        <w:pStyle w:val="ListParagraph"/>
        <w:numPr>
          <w:ilvl w:val="1"/>
          <w:numId w:val="19"/>
        </w:numPr>
        <w:jc w:val="both"/>
        <w:rPr>
          <w:rFonts w:ascii="Times New Roman" w:hAnsi="Times New Roman" w:cs="Times New Roman"/>
          <w:noProof/>
          <w:sz w:val="24"/>
          <w:szCs w:val="24"/>
        </w:rPr>
      </w:pPr>
      <w:r>
        <w:rPr>
          <w:rFonts w:ascii="Times New Roman" w:hAnsi="Times New Roman"/>
          <w:noProof/>
          <w:sz w:val="24"/>
        </w:rPr>
        <w:t xml:space="preserve">регламент на Комисията относно мрежов кодекс в секторите на електрическата енергия и газа, става част от вътрешната правна уредба на Украйна без да се изменя структурата и текстът на регламента освен превода му, с изключение на промени, посочени като необходими от Европейската комисия.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Украйна се въздържа от всякакви действия, които могат да засегнат постигането на целта или на резултатите от сближаването на нейното национално законодателство с достиженията на правото на ЕС в енергийния сектор, посочени в приложение XXVII-2.</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Украйна отменя разпоредбите на вътрешното си законодателство или прекратява национални практики, които не са в съответствие с правото на Съюза или с нейното вътрешно законодателство, което е било сближено със законодателството на Съюза в енергийния сектор, посочено в приложение XXVII-2.</w:t>
      </w:r>
    </w:p>
    <w:p>
      <w:pPr>
        <w:rPr>
          <w:rFonts w:ascii="Times New Roman" w:hAnsi="Times New Roman" w:cs="Times New Roman"/>
          <w:noProof/>
          <w:sz w:val="24"/>
          <w:szCs w:val="24"/>
        </w:rPr>
      </w:pPr>
      <w:r>
        <w:rPr>
          <w:noProof/>
        </w:rPr>
        <w:br w:type="page"/>
      </w:r>
    </w:p>
    <w:p>
      <w:pPr>
        <w:jc w:val="both"/>
        <w:rPr>
          <w:rFonts w:ascii="Times New Roman" w:hAnsi="Times New Roman" w:cs="Times New Roman"/>
          <w:i/>
          <w:noProof/>
          <w:sz w:val="24"/>
          <w:szCs w:val="24"/>
        </w:rPr>
      </w:pPr>
      <w:r>
        <w:rPr>
          <w:rFonts w:ascii="Times New Roman" w:hAnsi="Times New Roman"/>
          <w:i/>
          <w:noProof/>
          <w:sz w:val="24"/>
        </w:rPr>
        <w:t>Консултации</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Украйна се консултира с Европейската комисия по отношение на съвместимостта с достиженията на правото на ЕС на всяко законодателно предложение в областите, които подлежат на сближаване с правните актове на ЕС, посочени в приложение XXVII-2, преди влизането му в сила. Задължението за консултиране включва предложения за изменение на вече сближен национален законодателен акт, независимо от правната форма на предложението.</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Правителството на Украйна се консултира с Европейската комисия по отношение на съвместимостта с достиженията на правото на ЕС на всяко законодателно предложение за акт за прилагане на законодателството в енергийния сектор, който е бил или следва да бъде сближен с правните актове на ЕС, посочени в приложение XXVII-2. Ако правителството на Украйна реши да се консултира с Европейската комисия относно такъв акт, се прилага точка 7.</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Украйна се въздържа да привежда в действие актове, които са били представени за консултиране, както е посочено в точки 5 и 6, преди Европейската комисия да е преценила съвместимостта на предложения акт със съответните достижения на правото на ЕС, както и в случаите, когато Европейската комисия е заключила, че предложеният акт не е съвместим с посочените достижения на правото на ЕС.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Оценката на съвместимостта от страна на Европейската комисия може да включва препоръки по отношение на предложения акт или части от него, които Европейската комисия счита за несъвместими с достиженията на правото на ЕС. При извършване на оценката Европейската комисия може да се консултира със Секретариата на Енергийната общност или да организира експертни мисии, ако счете за необходимо. Оценката на съвместимостта приключва в рамките на 3 месеца от датата на получаване на версията на английски език на текста на предложения акт или в рамките на по-дълъг срок, според договореното между Европейската комисия и Украйна. При липса на отговор от Европейската комисия в този срок Украйна може да приведе в действие предложения акт. Липсата на отговор в рамките на този срок не означава, че Европейската комисия счита предложеният акт за съвместим с достиженията на правото на ЕС.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Украйна изпраща на Европейската комисия окончателната версия на всеки акт в областите на сближаване с достиженията на правото на ЕС, посочени в приложение XXVII-2, или всеки акт, с който се изменя сближено национално законодателство в същите области.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Правителството на Украйна може да представи на Европейската комисия всеки акт или предложение по енергийните въпроси, обхванати от настоящото споразумение, с цел да поиска необвързващо становище относно съвместимостта на акта с достиженията на правото на ЕС, посочени в приложение XXVII-2.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Страните обменят информация, както е предвидено в настоящото приложение, чрез секретарите на Комитета за асоцииране. </w:t>
      </w:r>
    </w:p>
    <w:p>
      <w:pPr>
        <w:rPr>
          <w:rFonts w:ascii="Times New Roman" w:hAnsi="Times New Roman" w:cs="Times New Roman"/>
          <w:noProof/>
          <w:sz w:val="24"/>
          <w:szCs w:val="24"/>
        </w:rPr>
      </w:pPr>
      <w:r>
        <w:rPr>
          <w:noProof/>
        </w:rPr>
        <w:br w:type="page"/>
      </w:r>
    </w:p>
    <w:p>
      <w:pPr>
        <w:jc w:val="both"/>
        <w:rPr>
          <w:rFonts w:ascii="Times New Roman" w:hAnsi="Times New Roman" w:cs="Times New Roman"/>
          <w:i/>
          <w:noProof/>
          <w:sz w:val="24"/>
          <w:szCs w:val="24"/>
        </w:rPr>
      </w:pPr>
      <w:r>
        <w:rPr>
          <w:rFonts w:ascii="Times New Roman" w:hAnsi="Times New Roman"/>
          <w:i/>
          <w:noProof/>
          <w:sz w:val="24"/>
        </w:rPr>
        <w:t>Докладване пред Съвета за асоцииране</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Европейската комисия информира Съвета за асоцииране преди неговото годишно заседание относно всички становища, поискани и издадени от Украйна по силата на настоящото приложение, относно съвместимостта на национални законодателни актове на Украйна с достиженията на правото на ЕС.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Украйна докладва писмено на Съвета за асоцииране три месеца преди неговото годишно заседание относно постигнатия напредък при изпълнението на реформата на енергийния сектор въз основа на достиженията на правото на ЕС, посочени в приложение XXVII-2. В този доклад се посочва подробно начинът, по който Украйна е взела предвид становищата и препоръките, издадени от Европейската комисия, в приетите от Украйна актове, както и се предоставя информация относно ефективното прилагане на приетото законодателство.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Резултатите от дейностите по осъществяване на контрол се представят за обсъждане в рамките на съответните органи, посочени в настоящото споразумение, включително с цел изработване на препоръки, както е посочено в член 475, параграф 4 от Споразумението.</w:t>
      </w:r>
    </w:p>
    <w:p>
      <w:pPr>
        <w:pStyle w:val="ListParagraph"/>
        <w:ind w:left="360"/>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jc w:val="center"/>
        <w:rPr>
          <w:rFonts w:ascii="Times New Roman" w:hAnsi="Times New Roman" w:cs="Times New Roman"/>
          <w:caps/>
          <w:noProof/>
          <w:sz w:val="24"/>
          <w:szCs w:val="24"/>
        </w:rPr>
      </w:pPr>
      <w:r>
        <w:rPr>
          <w:rFonts w:ascii="Times New Roman" w:hAnsi="Times New Roman"/>
          <w:caps/>
          <w:noProof/>
          <w:sz w:val="24"/>
        </w:rPr>
        <w:t>Приложение XXVII-2</w:t>
      </w:r>
    </w:p>
    <w:p>
      <w:pPr>
        <w:jc w:val="center"/>
        <w:rPr>
          <w:rFonts w:ascii="Times New Roman" w:hAnsi="Times New Roman" w:cs="Times New Roman"/>
          <w:caps/>
          <w:noProof/>
          <w:sz w:val="24"/>
          <w:szCs w:val="24"/>
        </w:rPr>
      </w:pPr>
      <w:r>
        <w:rPr>
          <w:rFonts w:ascii="Times New Roman" w:hAnsi="Times New Roman"/>
          <w:caps/>
          <w:noProof/>
          <w:sz w:val="24"/>
        </w:rPr>
        <w:t>Задължения на Украйна за сближаване в енергийния сектор</w:t>
      </w:r>
    </w:p>
    <w:p>
      <w:pPr>
        <w:jc w:val="center"/>
        <w:rPr>
          <w:rFonts w:ascii="Times New Roman" w:hAnsi="Times New Roman" w:cs="Times New Roman"/>
          <w:caps/>
          <w:noProof/>
          <w:sz w:val="24"/>
          <w:szCs w:val="24"/>
        </w:rPr>
      </w:pPr>
    </w:p>
    <w:p>
      <w:pPr>
        <w:rPr>
          <w:rFonts w:ascii="Times New Roman" w:hAnsi="Times New Roman" w:cs="Times New Roman"/>
          <w:noProof/>
          <w:sz w:val="24"/>
          <w:szCs w:val="24"/>
        </w:rPr>
      </w:pPr>
      <w:r>
        <w:rPr>
          <w:rFonts w:ascii="Times New Roman" w:hAnsi="Times New Roman"/>
          <w:noProof/>
          <w:sz w:val="24"/>
        </w:rPr>
        <w:t>Украйна се ангажира с постепенното сближаване на своето законодателство с посоченото по-долу законодателство на ЕС в установените срокове.</w:t>
      </w:r>
    </w:p>
    <w:p>
      <w:pPr>
        <w:rPr>
          <w:rFonts w:ascii="Times New Roman" w:hAnsi="Times New Roman" w:cs="Times New Roman"/>
          <w:b/>
          <w:noProof/>
          <w:sz w:val="24"/>
          <w:szCs w:val="24"/>
        </w:rPr>
      </w:pPr>
      <w:r>
        <w:rPr>
          <w:rFonts w:ascii="Times New Roman" w:hAnsi="Times New Roman"/>
          <w:b/>
          <w:noProof/>
          <w:sz w:val="24"/>
        </w:rPr>
        <w:t>1. Достижения на правото на ЕС, които Украйна се е ангажирала да прилага в рамката на Договора за Енергийна общност. По отношение на настоящото приложение се прилагат договорените в тази рамка крайни срокове</w:t>
      </w: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rPr>
                <w:rFonts w:ascii="Times New Roman" w:hAnsi="Times New Roman" w:cs="Times New Roman"/>
                <w:b/>
                <w:noProof/>
                <w:sz w:val="24"/>
                <w:szCs w:val="24"/>
              </w:rPr>
            </w:pPr>
            <w:r>
              <w:rPr>
                <w:rFonts w:ascii="Times New Roman" w:hAnsi="Times New Roman"/>
                <w:b/>
                <w:noProof/>
                <w:sz w:val="24"/>
              </w:rPr>
              <w:t>Електроенергия</w:t>
            </w:r>
          </w:p>
          <w:p>
            <w:pPr>
              <w:rPr>
                <w:rFonts w:ascii="Times New Roman" w:hAnsi="Times New Roman" w:cs="Times New Roman"/>
                <w:b/>
                <w:noProof/>
                <w:sz w:val="24"/>
                <w:szCs w:val="24"/>
              </w:rPr>
            </w:pPr>
          </w:p>
        </w:tc>
      </w:tr>
      <w:tr>
        <w:trPr>
          <w:trHeight w:val="877"/>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p>
        </w:tc>
      </w:tr>
      <w:tr>
        <w:trPr>
          <w:trHeight w:val="88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1227/2011 на Европейския парламент и на Съвета от 25 октомври 2011 г. относно интегритета и прозрачността на пазара за търговия на едро с енергия</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838/2010 на Комисията от 23 септември 2010 г. за определяне на указания относно механизма за компенсиране между операторите на преносни мрежи и на общ регулаторен подход по отношение на таксите за пренос</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543/2013 от 14 юни 2013 г. за представяне и публикуване на данни на пазарите за електроенергия и за изменение на приложение І към Регламент (ЕО) № 714/2009 на Европейския парламент и на Съвета</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Регламент (ЕС) 2016/1388 на Комисията от 17 август 2016 г. за установяване на мрежов кодекс относно присъединяването на потребители </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2016/631 на Комисията от 14 април 2016 г. за установяване на Мрежов кодекс за изискванията за присъединяване на производителите на електроенергия към електроенергийната мрежа</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2016/1447 на Комисията от 26 август 2016 г. за установяване на Мрежов кодекс за изискванията за присъединяване към електроенергийната мрежа на системи за постоянен ток с високо напрежение и модули от вида „електроенергиен парк“, присъединени чрез връзка за постоянен ток</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2016/1952 на Европейския парламент и на Съвета от 26 октомври 2016 г. относно европейската статистика на цените на природния газ и електроенергията и за отмяна на Директива 2008/92/ЕО</w:t>
            </w:r>
          </w:p>
          <w:p>
            <w:pPr>
              <w:spacing w:after="240"/>
              <w:jc w:val="both"/>
              <w:rPr>
                <w:rFonts w:ascii="Times New Roman" w:hAnsi="Times New Roman" w:cs="Times New Roman"/>
                <w:noProof/>
                <w:sz w:val="24"/>
                <w:szCs w:val="24"/>
              </w:rPr>
            </w:pP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Газ</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2004/67/ЕО на Съвета от 26 април 2004 г. относно мерките за гарантиране сигурността на снабдяването с природен газ</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2015/703 от 30 април 2015 г. за установяване на мрежов кодекс относно правила за оперативната съвместимост и обмена на данни</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2017/459 на Комисията от 16 март 2017 г. за установяване на Мрежов кодекс относно механизмите за разпределение на капацитет в газопреносни системи и за допълнение на Регламент (ЕО) № 984/2013</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2017/460 на Комисията от 16 март 2017 г. за установяване на Мрежов кодекс относно хармонизирани структури на тарифите за пренос на газ</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Възобновяеми източници на енергия</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Нефт</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2009/119/ЕО на Съвета от 14 септември 2009 г. за налагане на задължение на държавите членки да поддържат минимални запаси от суров нефт и/или нефтопродукти;</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Енергийна инфраструктура</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Регламент (ЕС) № 347/2013 на Европейския парламент и на Съвета от 17 април 2013 г. относно указания за трансевропейската енергийна инфраструктура и за отмяна на Решение № 1364/2006/ЕО, както и за изменение на регламенти (ЕО) № 713/2009, (ЕО) № 714/2009 и (ЕО) № 715/2009 </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Енергийна ефективност</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Директива 2010/31/ЕС на Европейския парламент и на Съвета от 19 май 2010 г. относно енергийните характеристики на сградите </w:t>
            </w:r>
          </w:p>
        </w:tc>
      </w:tr>
    </w:tbl>
    <w:p>
      <w:pPr>
        <w:rPr>
          <w:noProof/>
        </w:rPr>
      </w:pPr>
      <w:r>
        <w:rPr>
          <w:noProof/>
        </w:rPr>
        <w:br w:type="page"/>
      </w: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Регламент (ЕС) 2017/1369 на Европейския парламент и на Съвета от 4 юли 2017 г. за определяне на нормативната рамка за енергийно етикетиране и за отмяна на Директива 2010/30/ЕС </w:t>
            </w:r>
          </w:p>
          <w:p>
            <w:pPr>
              <w:spacing w:after="240"/>
              <w:jc w:val="both"/>
              <w:rPr>
                <w:rFonts w:ascii="Times New Roman" w:hAnsi="Times New Roman" w:cs="Times New Roman"/>
                <w:noProof/>
                <w:sz w:val="24"/>
                <w:szCs w:val="24"/>
              </w:rPr>
            </w:pPr>
            <w:r>
              <w:rPr>
                <w:rFonts w:ascii="Times New Roman" w:hAnsi="Times New Roman"/>
                <w:noProof/>
                <w:sz w:val="24"/>
              </w:rPr>
              <w:t>Регламенти за изпълнение:</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noProof/>
                <w:sz w:val="24"/>
              </w:rPr>
              <w:t>Делегиран регламент (ЕС) № 518/2014 на Комисията от 5 март 2014 г. за изменение на делегирани регламенти (ЕС) № 1059/2010, 1060/2010, 1061/2010, 1062/2010, 626/2011, 392/2012, 874/2012, 665/2013, 811/2013 и 812/2013 на Комисията, отнасящо се за етикетирането в Интернет на свързани с енергопотреблението продукти</w:t>
            </w:r>
          </w:p>
          <w:p>
            <w:pPr>
              <w:pStyle w:val="ListParagraph"/>
              <w:spacing w:after="240"/>
              <w:jc w:val="both"/>
              <w:rPr>
                <w:rFonts w:ascii="Times New Roman" w:hAnsi="Times New Roman" w:cs="Times New Roman"/>
                <w:noProof/>
                <w:sz w:val="24"/>
                <w:szCs w:val="24"/>
              </w:rPr>
            </w:pPr>
          </w:p>
          <w:p>
            <w:pPr>
              <w:pStyle w:val="ListParagraph"/>
              <w:numPr>
                <w:ilvl w:val="0"/>
                <w:numId w:val="18"/>
              </w:numPr>
              <w:spacing w:after="240"/>
              <w:jc w:val="both"/>
              <w:rPr>
                <w:rFonts w:ascii="Times New Roman" w:hAnsi="Times New Roman" w:cs="Times New Roman"/>
                <w:noProof/>
                <w:spacing w:val="-2"/>
                <w:sz w:val="24"/>
                <w:szCs w:val="24"/>
              </w:rPr>
            </w:pPr>
            <w:r>
              <w:rPr>
                <w:rFonts w:ascii="Times New Roman" w:hAnsi="Times New Roman"/>
                <w:noProof/>
                <w:spacing w:val="-2"/>
                <w:sz w:val="24"/>
              </w:rPr>
              <w:t>Делегиран регламент (ЕС) 2017/254 на Комисията от 30 ноември 2016 г. за изменение на делегирани регламенти (ЕС) № 1059/2010, (EС) № 1060/2010, (EС) № 1061/2010, (EС) № 1062/2010, (EС) № 626/2011, (EС) № 392/2012, (EС) № 874/2012, (EС) № 665/2013, (EС) № 811/2013, (EС) № 812/2013, (EС) № 65/2014, (EС) № 1254/2014, (EС) 2015/1094, (EС) 2015/1186 и (EС) 2015/1187 по отношение на използването на допустими отклонения при процедури за проверка</w:t>
            </w:r>
          </w:p>
          <w:p>
            <w:pPr>
              <w:pStyle w:val="ListParagraph"/>
              <w:spacing w:after="240"/>
              <w:jc w:val="both"/>
              <w:rPr>
                <w:rFonts w:ascii="Times New Roman" w:hAnsi="Times New Roman" w:cs="Times New Roman"/>
                <w:noProof/>
                <w:sz w:val="24"/>
                <w:szCs w:val="24"/>
              </w:rPr>
            </w:pP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1060/2010 на Комисията от 28 септември 2010 г. за допълване на Директива 2010/30/ЕС на Европейския парламент и на Съвета по отношение на енергийното етикетиране на домашни хладилни уреди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65/2014 на Комисията от 1 октомври 2013 г. за допълване на Директива 2010/30/ЕС на Европейския парламент и на Съвета по отношение на енергийното етикетиране на битови фурни и абсорбатори</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626/2011 на Комисията от 4 май 2011 г. за прилагане на Директива 2010/30/ЕС на Европейския парламент и на Съвета по отношение на енергийното етикетиране на климатизатори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874/2012 на Комисията от 12 юли 2012 г. за допълване на Директива 2010/30/ЕС на Европейския парламент и на Съвета по отношение на енергийното етикетиране на електрически лампи и осветители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1059/2010 на Комисията от 28 септември 2010 г. за допълване на Директива 2010/30/ЕС на Европейския парламент и на Съвета по отношение на енергийното етикетиране на домакински съдомиялни машини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Директива 96/60/ЕО на Комисията от 19 септември 1996 г. за изпълнение на Директива 92/75/ЕИО на Съвета относно енергийното етикетиране на битови комбинирани перални и сушилни машини</w:t>
            </w:r>
          </w:p>
          <w:p>
            <w:pPr>
              <w:pStyle w:val="ListParagraph"/>
              <w:numPr>
                <w:ilvl w:val="0"/>
                <w:numId w:val="4"/>
              </w:numPr>
              <w:spacing w:after="240"/>
              <w:ind w:left="720"/>
              <w:contextualSpacing w:val="0"/>
              <w:jc w:val="both"/>
              <w:rPr>
                <w:rStyle w:val="s1"/>
                <w:rFonts w:ascii="Times New Roman" w:hAnsi="Times New Roman" w:cs="Times New Roman"/>
                <w:noProof/>
                <w:sz w:val="24"/>
                <w:szCs w:val="24"/>
              </w:rPr>
            </w:pPr>
            <w:r>
              <w:rPr>
                <w:rStyle w:val="s1"/>
                <w:rFonts w:ascii="Times New Roman" w:hAnsi="Times New Roman"/>
                <w:noProof/>
                <w:sz w:val="24"/>
              </w:rPr>
              <w:t xml:space="preserve">Делегиран регламент (ЕС) № 392/2012 на Комисията от 1 март 2012 г. за допълване на Директива 2010/30/ЕС на Европейския парламент и на Съвета по отношение на енергийното етикетиране на битови барабанни сушилни машини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1061/2010 на Комисията от 28 септември 2010 г., допълващ Директива 2010/30/ЕС на Европейския парламент и на Съвета по отношение на енергийното етикетиране на битови перални машини </w:t>
            </w:r>
          </w:p>
          <w:p>
            <w:pPr>
              <w:pStyle w:val="ListParagraph"/>
              <w:spacing w:after="240"/>
              <w:contextualSpacing w:val="0"/>
              <w:jc w:val="both"/>
              <w:rPr>
                <w:rFonts w:ascii="Times New Roman" w:hAnsi="Times New Roman" w:cs="Times New Roman"/>
                <w:noProof/>
                <w:sz w:val="24"/>
                <w:szCs w:val="24"/>
              </w:rPr>
            </w:pP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665/2013 на Комисията от 3 май 2013 г. за допълване на Директива 2010/30/ЕС на Европейския парламент и на Съвета по отношение на енергийното етикетиране на прахосмукачки</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812/2013 на Комисията от 18 февруари 2013 г. за допълване на Директива 2010/30/ЕС на Европейския парламент и на Съвета по отношение на енергийното етикетиране на водоподгреватели, топлоакумулиращи резервоари за гореща вода и комплекти от водоподгревател и слънчево съоръжение</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811/2013 на Комисията от 18 февруари 2013 г. за допълване на Директива 2010/30/ЕС на Европейския парламент и на Съвета по отношение на енергийното етикетиране на отоплителни топлоизточници, комбинирани топлоизточници, комплекти от отоплителен топлоизточник, регулатор на температурата и слънчево съоръжение и комплекти от комбиниран топлоизточник, регулатор на температурата и слънчево съоръжение</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1062/2010 на Комисията от 28 септември 2010 г. за допълване на Директива 2010/30/ЕС на Европейския парламент и на Съвета във връзка с енергийното етикетиране на телевизори</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 1254/2014 на Комисията от 11 юли 2014 г. за допълване на Директива 2010/30/ЕС на Европейския парламент и на Съвета по отношение на енергийното етикетиране на вентилационните агрегати за жилищни помещения</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2015/1094 на Комисията от 5 май 2015 г. за допълнение на Директива 2010/30/ЕС на Европейския парламент и на Съвета по отношение на енергийното етикетиране на професионални хладилни шкафове за съхранение</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2015/1186 на Комисията от 24 април 2015 г. за допълване на Директива 2010/30/ЕС на Европейския парламент и на Съвета по отношение на енергийното етикетиране на локални отоплителни топлоизточници</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Делегиран регламент (ЕС) 2015/1187 на Комисията от 27 април 2015 г. за допълнение на Директива 2010/30/ЕС на Европейския парламент и на Съвета по отношение на енергийното етикетиране на водогрейни котли на твърдо гориво и пакети от водогреен котел на твърдо гориво, допълнителни подгреватели, регулатори на температурата и слънчеви съоръжения</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2. Достижения на правото на ЕС, които да бъдат приложени от Украйна извън задълженията на Украйна в рамките на Договора за Енергийна общност</w:t>
            </w:r>
          </w:p>
        </w:tc>
      </w:tr>
      <w:tr>
        <w:tc>
          <w:tcPr>
            <w:tcW w:w="9288" w:type="dxa"/>
          </w:tcPr>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062"/>
            </w:tblGrid>
            <w:tr>
              <w:trPr>
                <w:trHeight w:val="457"/>
              </w:trPr>
              <w:tc>
                <w:tcPr>
                  <w:tcW w:w="9288" w:type="dxa"/>
                </w:tcPr>
                <w:p>
                  <w:pPr>
                    <w:jc w:val="both"/>
                    <w:rPr>
                      <w:rFonts w:ascii="Times New Roman" w:hAnsi="Times New Roman" w:cs="Times New Roman"/>
                      <w:b/>
                      <w:noProof/>
                      <w:sz w:val="24"/>
                      <w:szCs w:val="24"/>
                    </w:rPr>
                  </w:pPr>
                  <w:r>
                    <w:rPr>
                      <w:rFonts w:ascii="Times New Roman" w:hAnsi="Times New Roman"/>
                      <w:b/>
                      <w:noProof/>
                      <w:sz w:val="24"/>
                    </w:rPr>
                    <w:t>Газ</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Регламент (ЕС) № 312/2014 на Комисията от 26 март 2014 г. за установяване на Мрежов кодекс за балансиране на газопреносните мрежи</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не по-късно от 31 декември 2019 г.</w:t>
                  </w:r>
                </w:p>
              </w:tc>
            </w:tr>
          </w:tbl>
          <w:p>
            <w:pPr>
              <w:spacing w:after="240"/>
              <w:jc w:val="both"/>
              <w:rPr>
                <w:rFonts w:ascii="Times New Roman" w:hAnsi="Times New Roman" w:cs="Times New Roman"/>
                <w:b/>
                <w:noProof/>
                <w:sz w:val="24"/>
                <w:szCs w:val="24"/>
              </w:rPr>
            </w:pPr>
            <w:r>
              <w:rPr>
                <w:rFonts w:ascii="Times New Roman" w:hAnsi="Times New Roman"/>
                <w:b/>
                <w:noProof/>
                <w:sz w:val="24"/>
              </w:rPr>
              <w:t>Търсене и проучване на въглеводороди</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94/22/ЕО относно условията за предоставяне и ползване на разрешения за проучване, изследване и производство на въглеводороди</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3 години след влизане в сила на настоящото споразумение, като се вземат предвид членове (12 и 13) от свързаните с търговията разпоредби, обхванати в глава 11 (Свързана с търговията енергетика) от дял IV (Търговия и свързани с търговията въпроси).</w:t>
            </w:r>
          </w:p>
        </w:tc>
      </w:tr>
      <w:tr>
        <w:tc>
          <w:tcPr>
            <w:tcW w:w="9288" w:type="dxa"/>
          </w:tcPr>
          <w:p>
            <w:pPr>
              <w:spacing w:after="240"/>
              <w:rPr>
                <w:rFonts w:ascii="Times New Roman" w:hAnsi="Times New Roman" w:cs="Times New Roman"/>
                <w:b/>
                <w:noProof/>
                <w:sz w:val="24"/>
                <w:szCs w:val="24"/>
              </w:rPr>
            </w:pPr>
            <w:r>
              <w:rPr>
                <w:rFonts w:ascii="Times New Roman" w:hAnsi="Times New Roman"/>
                <w:b/>
                <w:noProof/>
                <w:sz w:val="24"/>
              </w:rPr>
              <w:t xml:space="preserve">Енергийна ефективност - енергийни характеристики на сградите </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Делегиран регламент (ЕС) № 244/2012 на Комисията от 16 януари 2012 г. за допълване на Директива 2010/31/ЕС на Европейския парламент и на Съвета относно енергийните характеристики на сградите чрез създаване на сравнителна методологична рамка за изчисляване на равнищата на оптимални разходи във връзка с минималните изисквания за енергийните характеристики на сградите и сградните компоненти</w:t>
            </w:r>
          </w:p>
          <w:p>
            <w:pPr>
              <w:spacing w:after="240"/>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не по-късно от 30 юни 2019 г.</w:t>
            </w:r>
          </w:p>
        </w:tc>
      </w:tr>
      <w:tr>
        <w:tc>
          <w:tcPr>
            <w:tcW w:w="9288" w:type="dxa"/>
          </w:tcPr>
          <w:p>
            <w:pPr>
              <w:spacing w:after="240"/>
              <w:jc w:val="both"/>
              <w:rPr>
                <w:rFonts w:ascii="Times New Roman" w:hAnsi="Times New Roman" w:cs="Times New Roman"/>
                <w:b/>
                <w:noProof/>
                <w:sz w:val="24"/>
                <w:szCs w:val="24"/>
                <w:highlight w:val="yellow"/>
              </w:rPr>
            </w:pPr>
            <w:r>
              <w:rPr>
                <w:rFonts w:ascii="Times New Roman" w:hAnsi="Times New Roman"/>
                <w:b/>
                <w:noProof/>
                <w:sz w:val="24"/>
              </w:rPr>
              <w:t>Енергийна ефективност — екопроектиране</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2009/125/EО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 2009/125/ЕО започват да се прилагат в срок от 3 години след влизане в сила на настоящото споразумение.</w:t>
            </w:r>
          </w:p>
          <w:p>
            <w:pPr>
              <w:spacing w:after="240"/>
              <w:jc w:val="both"/>
              <w:rPr>
                <w:rFonts w:ascii="Times New Roman" w:hAnsi="Times New Roman" w:cs="Times New Roman"/>
                <w:noProof/>
                <w:sz w:val="24"/>
                <w:szCs w:val="24"/>
              </w:rPr>
            </w:pPr>
            <w:r>
              <w:rPr>
                <w:rFonts w:ascii="Times New Roman" w:hAnsi="Times New Roman"/>
                <w:noProof/>
                <w:sz w:val="24"/>
              </w:rPr>
              <w:t>Регламенти за изпълнение: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2016/2282 на Комисията от 30 ноември 2016 г. за изменение на регламенти (ЕО) № 1275/2008, (ЕО) № 107/2009, (ЕО) № 278/2009, (ЕО) № 640/2009, (ЕО) № 641/2009, (ЕО) № 642/2009, (ЕО) № 643/2009, (ЕС) № 1015/2010, (ЕС) № 1016/2010, (ЕС) № 327/2011, (ЕС) № 206/2012, (ЕС) № 547/2012, (ЕС) № 932/2012, (ЕС) № 617/2013, (ЕС) № 666/2013, (ЕС) № 813/2013, (ЕС) № 814/2013, (ЕС) № 66/2014, (ЕС) № 548/2014, (ЕС) № 1253/2014, (ЕС) 2015/1095, (ЕС) 2015/1185, (ЕС) 2015/1188, (ЕС) 2015/1189 и (ЕС) 2016/2281 по отношение на използването на допустими отклонения при процедурите за проверка</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2016/2281 на Комисията от 30 ноември 2016 г. за изпълнение на Директива 2009/125/ЕО на Европейския парламент и на Съвета за създаване на рамка за определяне на изискванията за екопроектиране към продукти, свързани с енергопотреблението, по отношение на изискванията за екопроектиране на въздухоотоплителни продукти, охладителни продукти, високотемпературни технологични охладители на течности и вентилаторни конвектори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w:t>
            </w:r>
          </w:p>
          <w:p>
            <w:pPr>
              <w:spacing w:after="240"/>
              <w:ind w:left="72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2015/1188 на Комисията от 28 април 2015 г. за прилагане на Директива 2009/125/ЕО на Европейския парламент и на Съвета по отношение на изискванията за екопроектиране на локални отоплителни топлоизточници</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 xml:space="preserve">Регламент (ЕС) 2015/1185 на Комисията от 24 април 2015 г. за изпълнение на Директива 2009/125/ЕО на Европейския парламент и на Съвета по отношение на изискванията за екопроектиране на локални отоплителни топлоизточници на твърдо гориво </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2015/1095 на Комисията от 5 май 2015 г. изпълнение на Директива 2009/125/ЕО на Европейския парламент и на Съвета по отношение на изискванията за екопроектиране на професионални хладилни шкафове за съхранение, бързоохлаждащи шкафове, кондензационни агрегати и технологични охладители</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 1253/2014 на Комисията от 7 юли 2014 г. за прилагане на Директива 2009/125/ЕО на Европейския парламент и на Съвета по отношение на изискванията за екопроектиране на вентилационни агрегати</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 548/2014 на Комисията от 21 май 2014 г. за прилагане на Директива 2009/125/ЕО на Европейския парламент и на Съвета по отношение на малките, средните и големите силови трансформатори</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 66/2014 на Комисията от 14 януари 2014 г. за прилагане на Директива 2009/125/ЕО на Европейския парламент и на Съвета по отношение на изискванията за екопроектиране на битови фурни, котлони и абсорбатори</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 813/2013 на Комисията от 2 август 2013 г. за прилагане на Директива 2009/125/ЕО на Европейския парламент и на Съвета по отношение на изискванията за екопроектиране на отоплителни топлоизточници и комбинирани топлоизточници</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Регламент (ЕС) № 814/2013 на Комисията от 2 август 2013 г. за прилагане на Директива 2009/125/ЕО на Европейския парламент и на Съвета по отношение на изискванията за екопроектиране за водоподгреватели и топлоакумулиращи резервоари за гореща вода</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666/2013 на Комисията от 8 юли 2013 г. за прилагане на Директива 2009/125/ЕО на Европейския парламент и на Съвета по отношение на изискванията за екопроектиране за прахосмукачки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617/2013 на Комисията от 26 юни 2013 г. за прилагане на Директива 2009/125/ЕО на Европейския парламент и на Съвета по отношение на изискванията за екопроектиране на компютри и компютърни сървъри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932/2012 на Комисията от 3 октомври 2012 г. за прилагане на Директива 2009/125/ЕО на Европейския парламент и на Съвета по отношение на изискванията за екопроектиране на битови барабанни сушилни машини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622/2012 на Комисията от 11 юли 2012 г. за изменение на Регламент (ЕО) № 641/2009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641/2009 на Комисията от 22 юли 2009 г. за прилагане на Директива 2005/32/ЕО на Европейския парламент и на Съвета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547/2012 на Комисията от 25 юни 2012 г. за прилагане на Директива 2009/125/ЕО на Европейския парламент и на Съвета по отношение на изискванията за екопроектиране на водни помпи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206/2012 на Комисията от 6 март 2012 г. за прилагане на Директива 2009/125/ЕО на Европейския парламент и на Съвета по отношение на изискванията за екопроектиране на климатизатори и вентилатори за разхлаждане</w:t>
            </w:r>
          </w:p>
          <w:p>
            <w:pPr>
              <w:spacing w:after="240"/>
              <w:ind w:left="72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327/2011 на Комисията от 30 март 2011 г. за прилагане на Директива 2009/125/ЕО на Европейския парламент и на Съвета по отношение на изискванията за екопроектиране на вентилатори, задвижвани от електродвигатели с входна мощност между 125 W и 500 kW</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1016/2010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домакински съдомиялни машини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1015/2010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битови перални машини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2015/1428 на Комисията от 25 август 2015 г. за изменение на Регламент (ЕО) № 244/2009 на Комисията по отношение на изискванията за екопроектиране на ненасочени лампи за бита и Регламент (ЕО) № 245/2009 на Комисията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 както и Регламент (ЕС) № 1194/2012 на Комисията по отношение на изискванията за екопроектиране на насочени лампи, светодиодни лампи и съответното оборудване</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245/2009 на Комисията от 18 март 2009 г. за прилагане на Директива 2005/32/ЕО на Европейския парламент и на Съвета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1194/2012 на Комисията от 12 декември 2012 г. за прилагане на Директива 2009/125/ЕО на Европейския парламент и на Съвета по отношение на изискванията за екопроектиране на насочени лампи, светодиодни лампи и съответното оборудване</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244/2009 на Комисията от 18 март 2009 г. за прилагане на Директива 2005/32/ЕО на Европейския парламент и на Съвета по отношение на изискванията за екопроектиране на ненасочени лампи за бита,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859/2009 на Комисията от 18 септември 2009 г. за изменение на Регламент (ЕО) № 244/2009 по отношение на изискванията за екопроектиране във връзка с ултравиолетово излъчване от ненасочени лампи за бита</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347/2010 на Комисията от 21 април 2010 г. за изменение на Регламент (ЕО) № 245/2009 на Комисията по отношение на изискванията за екопроектиране на луминесцентни лампи без вграден баласт, за газоразрядни лампи с висок интензитет, както и на баласти и осветители, които могат да работят с такива лампи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643/2009 на Комисията от 22 юли 2009 г. за прилагане на Директива 2005/32/ЕО на Европейския парламент и на Съвета по отношение на изискванията за екопроектиране на домашни хладилни уреди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642/2009 на Комисията от 22 юли 2009 г. прилагане на Директива 2005/32/ЕО на Европейския парламент и на Съвета по отношение на изискванията за екопроектиране на телевизори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4/2014 на Комисията от 6 януари 2014 г. за изменение на Регламент (ЕО) № 640/2009 за прилагане на Директива 2005/32/ЕО на Европейския парламент и на Съвета по отношение на изискванията за екопроектиране на електродвигатели</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640/2009 на Комисията от 22 юли 2009 г. за прилагане на Директива 2005/32/ЕО на Европейския парламент и на Съвета по отношение на изискванията за екопроектиране на електродвигатели + поправка OВ L 46, 19.2.2011 г.</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(ЕС) № 278/2009 на Комисията от 6 април 2009 г. за прилагане на Директива 2005/32/ЕО на Европейския парламент и на Съвета във връзка с изискванията за екопроектиране на външни електрозахранващи устройства по отношение на консумираната мощност на празен ход и на средния КПД в работен режим,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107/2009 на Комисията от 4 февруари 2009 г. за прилагане на Директива 2005/32/ЕО на Европейския парламент и на Съвета по отношение на изискванията за екопроектиране за прости телевизионни приставки,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1275/2008 на Комисията от 17 декември 2008 г. за прилагане на Директива 2005/32/ЕО на Европейския парламент и на Съвета по отношение на изискванията за екопроектиране към електрическото и електронното битово и офис оборудване във връзка с консумацията му на електроенергия в режим в готовност и режим изключен,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регламента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Директива 92/42/ЕИО на Съвета от 21 май 1992 г. относно изискванията за ефективност на нови бойлери за топла вода с течно или газово гориво, изменен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3 години след влизане в сила на настоящото споразумение.</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Регламент (ЕО) № 643/2009 на Комисията от 22 юли 2009 г. за прилагане на Директива 2005/32/ЕО на Европейския парламент и на Съвета по отношение на изискванията за екопроектиране на домашни хладилни уреди, измемен</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График: графикът за прилагането на разпоредбите на регламента се определя не по-късно от 31 декември 2021 г.</w:t>
            </w:r>
          </w:p>
        </w:tc>
      </w:tr>
      <w:tr>
        <w:tc>
          <w:tcPr>
            <w:tcW w:w="9288" w:type="dxa"/>
          </w:tcPr>
          <w:p>
            <w:pPr>
              <w:spacing w:after="240"/>
              <w:rPr>
                <w:rFonts w:ascii="Times New Roman" w:hAnsi="Times New Roman" w:cs="Times New Roman"/>
                <w:b/>
                <w:noProof/>
                <w:sz w:val="24"/>
                <w:szCs w:val="24"/>
              </w:rPr>
            </w:pPr>
            <w:r>
              <w:rPr>
                <w:rFonts w:ascii="Times New Roman" w:hAnsi="Times New Roman"/>
                <w:b/>
                <w:noProof/>
                <w:sz w:val="24"/>
              </w:rPr>
              <w:t>Ядрени въпроси</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 и за отмяна на директиви 89/618/Евратом, 90/641/Евратом, 96/29/Евратом, 97/43/Евратом и 2003/122/Евратом </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4 години след влизане в сила на настоящото споразумение.</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2006/117/Евратом на Съвета от 20 ноември 2006 г. относно надзор и контрол на превоза на радиоактивни отпадъци и отработено гориво</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2 години след влизане в сила на настоящото споразумение.</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2009/71/Евратом на Съвета от 25 юни 2009 г. за установяване на общностна рамка за ядрената безопасност на ядрените инсталации</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3 години след влизане в сила на настоящото споразумение.</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2014/87/Евратом на Съвета от 8 юли 2014 г. за изменение на Директива 2009/71/Евратом за установяване на общностна рамка за ядрената безопасност на ядрените инсталации</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3 години след влизане в сила на настоящото споразумение.</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p>
            <w:pPr>
              <w:spacing w:after="240"/>
              <w:jc w:val="both"/>
              <w:rPr>
                <w:rFonts w:ascii="Times New Roman" w:hAnsi="Times New Roman" w:cs="Times New Roman"/>
                <w:noProof/>
                <w:sz w:val="24"/>
                <w:szCs w:val="24"/>
              </w:rPr>
            </w:pPr>
            <w:r>
              <w:rPr>
                <w:rFonts w:ascii="Times New Roman" w:hAnsi="Times New Roman"/>
                <w:noProof/>
                <w:sz w:val="24"/>
              </w:rPr>
              <w:t>График: разпоредбите на директивата започват да се прилагат в срок от 3 години след влизане в сила на настоящото споразумение.</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959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526"/>
    <w:multiLevelType w:val="hybridMultilevel"/>
    <w:tmpl w:val="4E989DE2"/>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B6EBA"/>
    <w:multiLevelType w:val="hybridMultilevel"/>
    <w:tmpl w:val="1C5E9744"/>
    <w:lvl w:ilvl="0" w:tplc="AECEC47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30995"/>
    <w:multiLevelType w:val="hybridMultilevel"/>
    <w:tmpl w:val="ACB2BA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C4054"/>
    <w:multiLevelType w:val="hybridMultilevel"/>
    <w:tmpl w:val="CF3E14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D874F6"/>
    <w:multiLevelType w:val="hybridMultilevel"/>
    <w:tmpl w:val="97D43606"/>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5518B"/>
    <w:multiLevelType w:val="hybridMultilevel"/>
    <w:tmpl w:val="8708BB56"/>
    <w:lvl w:ilvl="0" w:tplc="FE4EBD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C87ECA"/>
    <w:multiLevelType w:val="hybridMultilevel"/>
    <w:tmpl w:val="D4D0E5C0"/>
    <w:lvl w:ilvl="0" w:tplc="0809000F">
      <w:start w:val="1"/>
      <w:numFmt w:val="decimal"/>
      <w:lvlText w:val="%1."/>
      <w:lvlJc w:val="left"/>
      <w:pPr>
        <w:ind w:left="720" w:hanging="360"/>
      </w:pPr>
    </w:lvl>
    <w:lvl w:ilvl="1" w:tplc="3A901B9E">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EB3788"/>
    <w:multiLevelType w:val="hybridMultilevel"/>
    <w:tmpl w:val="E57E918E"/>
    <w:lvl w:ilvl="0" w:tplc="CC2EB0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97135A"/>
    <w:multiLevelType w:val="hybridMultilevel"/>
    <w:tmpl w:val="1F7C5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0DE09F3"/>
    <w:multiLevelType w:val="hybridMultilevel"/>
    <w:tmpl w:val="FC6E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B645C3"/>
    <w:multiLevelType w:val="hybridMultilevel"/>
    <w:tmpl w:val="27924E5E"/>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DE24E9"/>
    <w:multiLevelType w:val="hybridMultilevel"/>
    <w:tmpl w:val="8AC66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4C141C0"/>
    <w:multiLevelType w:val="hybridMultilevel"/>
    <w:tmpl w:val="D4E4C61E"/>
    <w:lvl w:ilvl="0" w:tplc="11E6ECC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616BA5"/>
    <w:multiLevelType w:val="hybridMultilevel"/>
    <w:tmpl w:val="E82C5C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8282056"/>
    <w:multiLevelType w:val="hybridMultilevel"/>
    <w:tmpl w:val="6E88B1CE"/>
    <w:lvl w:ilvl="0" w:tplc="E8DE39C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EA12D3"/>
    <w:multiLevelType w:val="hybridMultilevel"/>
    <w:tmpl w:val="9E385D3C"/>
    <w:lvl w:ilvl="0" w:tplc="E8DE39C8">
      <w:start w:val="1"/>
      <w:numFmt w:val="bullet"/>
      <w:lvlText w:val=""/>
      <w:lvlJc w:val="left"/>
      <w:pPr>
        <w:ind w:left="360" w:hanging="360"/>
      </w:pPr>
      <w:rPr>
        <w:rFonts w:ascii="Symbol" w:hAnsi="Symbol" w:hint="default"/>
      </w:rPr>
    </w:lvl>
    <w:lvl w:ilvl="1" w:tplc="E8DE39C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A2D7D2D"/>
    <w:multiLevelType w:val="hybridMultilevel"/>
    <w:tmpl w:val="213A0694"/>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E2127D"/>
    <w:multiLevelType w:val="hybridMultilevel"/>
    <w:tmpl w:val="E092EA88"/>
    <w:lvl w:ilvl="0" w:tplc="77A807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77525CB"/>
    <w:multiLevelType w:val="hybridMultilevel"/>
    <w:tmpl w:val="7CA43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15"/>
  </w:num>
  <w:num w:numId="5">
    <w:abstractNumId w:val="13"/>
  </w:num>
  <w:num w:numId="6">
    <w:abstractNumId w:val="14"/>
  </w:num>
  <w:num w:numId="7">
    <w:abstractNumId w:val="5"/>
  </w:num>
  <w:num w:numId="8">
    <w:abstractNumId w:val="4"/>
  </w:num>
  <w:num w:numId="9">
    <w:abstractNumId w:val="0"/>
  </w:num>
  <w:num w:numId="10">
    <w:abstractNumId w:val="16"/>
  </w:num>
  <w:num w:numId="11">
    <w:abstractNumId w:val="3"/>
  </w:num>
  <w:num w:numId="12">
    <w:abstractNumId w:val="18"/>
  </w:num>
  <w:num w:numId="13">
    <w:abstractNumId w:val="8"/>
  </w:num>
  <w:num w:numId="14">
    <w:abstractNumId w:val="2"/>
  </w:num>
  <w:num w:numId="15">
    <w:abstractNumId w:val="9"/>
  </w:num>
  <w:num w:numId="16">
    <w:abstractNumId w:val="11"/>
  </w:num>
  <w:num w:numId="17">
    <w:abstractNumId w:val="1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8E66DE4-644E-4060-BE1C-B218AF078672"/>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59?\u1082?\u1088?\u1072?\u1081?\u1085?\u1072?, \u1079?\u1072? \u1080?\u1079?\u1084?\u1077?\u1085?\u1077?\u1085?\u1080?\u1077? \u1085?\u1072? \u1087?\u1088?\u1080?\u1083?\u1086?\u1078?\u1077?\u1085?\u1080?\u1077? XXVII \u1082?\u1098?\u1084?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w:docVar w:name="LW_PART_NBR" w:val="1"/>
    <w:docVar w:name="LW_PART_NBR_TOTAL" w:val="1"/>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2551-1A20-4C41-991B-C6773686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5633</Words>
  <Characters>31774</Characters>
  <Application>Microsoft Office Word</Application>
  <DocSecurity>0</DocSecurity>
  <Lines>635</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2019-02-06T17:08:00Z</dcterms:created>
  <dcterms:modified xsi:type="dcterms:W3CDTF">2019-02-20T06:34:00Z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