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BB8B748B-81A6-4DC0-8A53-74B7F0705AFD" style="width:450.75pt;height:406.5pt">
            <v:imagedata r:id="rId9" o:title=""/>
          </v:shape>
        </w:pict>
      </w:r>
    </w:p>
    <w:bookmarkEnd w:id="0"/>
    <w:p>
      <w:pPr>
        <w:tabs>
          <w:tab w:val="left" w:pos="1534"/>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caps/>
          <w:noProof/>
          <w:sz w:val="24"/>
          <w:szCs w:val="24"/>
        </w:rPr>
      </w:pPr>
      <w:bookmarkStart w:id="1" w:name="_GoBack"/>
      <w:bookmarkEnd w:id="1"/>
      <w:r>
        <w:rPr>
          <w:rFonts w:ascii="Times New Roman" w:hAnsi="Times New Roman"/>
          <w:caps/>
          <w:noProof/>
          <w:sz w:val="24"/>
        </w:rPr>
        <w:lastRenderedPageBreak/>
        <w:t xml:space="preserve">Projet de </w:t>
      </w:r>
    </w:p>
    <w:p>
      <w:pPr>
        <w:jc w:val="center"/>
        <w:rPr>
          <w:rFonts w:ascii="Times New Roman" w:hAnsi="Times New Roman" w:cs="Times New Roman"/>
          <w:b/>
          <w:caps/>
          <w:noProof/>
          <w:sz w:val="24"/>
          <w:szCs w:val="24"/>
        </w:rPr>
      </w:pPr>
      <w:r>
        <w:rPr>
          <w:rFonts w:ascii="Times New Roman" w:hAnsi="Times New Roman"/>
          <w:b/>
          <w:caps/>
          <w:noProof/>
          <w:sz w:val="24"/>
        </w:rPr>
        <w:t>Décision n°.../2019 du conseil d'association UE-Ukraine</w:t>
      </w:r>
    </w:p>
    <w:p>
      <w:pPr>
        <w:jc w:val="center"/>
        <w:rPr>
          <w:rFonts w:ascii="Times New Roman" w:hAnsi="Times New Roman" w:cs="Times New Roman"/>
          <w:b/>
          <w:noProof/>
          <w:sz w:val="24"/>
          <w:szCs w:val="24"/>
        </w:rPr>
      </w:pPr>
      <w:r>
        <w:rPr>
          <w:rFonts w:ascii="Times New Roman" w:hAnsi="Times New Roman"/>
          <w:b/>
          <w:noProof/>
          <w:sz w:val="24"/>
        </w:rPr>
        <w:t>du … 2019</w:t>
      </w:r>
    </w:p>
    <w:p>
      <w:pPr>
        <w:jc w:val="center"/>
        <w:rPr>
          <w:rFonts w:ascii="Times New Roman" w:hAnsi="Times New Roman" w:cs="Times New Roman"/>
          <w:b/>
          <w:noProof/>
          <w:sz w:val="24"/>
          <w:szCs w:val="24"/>
        </w:rPr>
      </w:pPr>
      <w:r>
        <w:rPr>
          <w:rFonts w:ascii="Times New Roman" w:hAnsi="Times New Roman"/>
          <w:b/>
          <w:noProof/>
          <w:sz w:val="24"/>
        </w:rPr>
        <w:t>modifiant l’annexe XXVII de l'accord d'association entre l'Union européenne et la Communauté européenne de l'énergie atomique et leurs États membres, d'une part, et l'Ukraine, d'autre part</w:t>
      </w:r>
    </w:p>
    <w:p>
      <w:pPr>
        <w:jc w:val="center"/>
        <w:rPr>
          <w:rFonts w:ascii="Times New Roman" w:hAnsi="Times New Roman" w:cs="Times New Roman"/>
          <w:noProof/>
          <w:sz w:val="24"/>
          <w:szCs w:val="24"/>
        </w:rPr>
      </w:pPr>
    </w:p>
    <w:p>
      <w:pPr>
        <w:rPr>
          <w:rFonts w:ascii="Times New Roman" w:hAnsi="Times New Roman" w:cs="Times New Roman"/>
          <w:caps/>
          <w:noProof/>
          <w:sz w:val="24"/>
          <w:szCs w:val="24"/>
        </w:rPr>
      </w:pPr>
      <w:r>
        <w:rPr>
          <w:rFonts w:ascii="Times New Roman" w:hAnsi="Times New Roman"/>
          <w:caps/>
          <w:noProof/>
          <w:sz w:val="24"/>
        </w:rPr>
        <w:t xml:space="preserve">LE CONSEIL D'ASSOCIATION UE-UKRAINE, </w:t>
      </w:r>
    </w:p>
    <w:p>
      <w:pPr>
        <w:jc w:val="both"/>
        <w:rPr>
          <w:rFonts w:ascii="Times New Roman" w:hAnsi="Times New Roman" w:cs="Times New Roman"/>
          <w:noProof/>
          <w:sz w:val="24"/>
          <w:szCs w:val="24"/>
        </w:rPr>
      </w:pPr>
      <w:r>
        <w:rPr>
          <w:rFonts w:ascii="Times New Roman" w:hAnsi="Times New Roman"/>
          <w:noProof/>
          <w:sz w:val="24"/>
        </w:rPr>
        <w:t xml:space="preserve">vu l'accord d'association entre l'Union européenne et la Communauté européenne de l'énergie atomique et leurs États membres, d'une part, et l'Ukraine, d'autre part, et notamment son article 463, </w:t>
      </w:r>
    </w:p>
    <w:p>
      <w:pPr>
        <w:rPr>
          <w:rFonts w:ascii="Times New Roman" w:hAnsi="Times New Roman" w:cs="Times New Roman"/>
          <w:noProof/>
          <w:sz w:val="24"/>
          <w:szCs w:val="24"/>
        </w:rPr>
      </w:pPr>
      <w:r>
        <w:rPr>
          <w:rFonts w:ascii="Times New Roman" w:hAnsi="Times New Roman"/>
          <w:noProof/>
          <w:sz w:val="24"/>
        </w:rPr>
        <w:t xml:space="preserve">considérant ce qui suit: </w:t>
      </w:r>
    </w:p>
    <w:p>
      <w:pPr>
        <w:ind w:left="720" w:hanging="720"/>
        <w:jc w:val="both"/>
        <w:rPr>
          <w:rFonts w:ascii="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L'accord d'association (ci-après l’«accord») entre l'Union européenne et la Communauté européenne de l'énergie atomique et leurs États membres, d'une part, et l’Ukraine, d'autre part, a été signé le 21 mars et le 27 juin 2014 et est entré en vigueur le 1</w:t>
      </w:r>
      <w:r>
        <w:rPr>
          <w:rFonts w:ascii="Times New Roman" w:hAnsi="Times New Roman"/>
          <w:noProof/>
          <w:sz w:val="24"/>
          <w:vertAlign w:val="superscript"/>
        </w:rPr>
        <w:t>er</w:t>
      </w:r>
      <w:r>
        <w:rPr>
          <w:rFonts w:ascii="Times New Roman" w:hAnsi="Times New Roman"/>
          <w:noProof/>
          <w:sz w:val="24"/>
        </w:rPr>
        <w:t> septembre 2017.</w:t>
      </w:r>
    </w:p>
    <w:p>
      <w:pPr>
        <w:ind w:left="720" w:hanging="720"/>
        <w:jc w:val="both"/>
        <w:rPr>
          <w:rFonts w:ascii="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Le préambule de l’accord prend acte de la volonté des parties de faire progresser les réformes et les efforts de rapprochement en Ukraine, contribuant ainsi à l'intégration économique progressive et à l'approfondissement de l'association au plan politique, ainsi que de parvenir à l'intégration économique, par un rapprochement important des réglementations. Le préambule fait aussi référence à l'attachement des parties à renforcer la sécurité énergétique, notamment en accroissant l’intégration du marché et le rapprochement des réglementations concernant des éléments fondamentaux de l’acquis de l’UE. </w:t>
      </w:r>
    </w:p>
    <w:p>
      <w:pPr>
        <w:ind w:left="720" w:hanging="720"/>
        <w:jc w:val="both"/>
        <w:rPr>
          <w:rFonts w:ascii="Times New Roman" w:hAnsi="Times New Roman" w:cs="Times New Roman"/>
          <w:noProof/>
          <w:sz w:val="24"/>
          <w:szCs w:val="24"/>
        </w:rPr>
      </w:pPr>
      <w:r>
        <w:rPr>
          <w:rFonts w:ascii="Times New Roman" w:hAnsi="Times New Roman"/>
          <w:noProof/>
          <w:sz w:val="24"/>
        </w:rPr>
        <w:t>(3)</w:t>
      </w:r>
      <w:r>
        <w:rPr>
          <w:noProof/>
        </w:rPr>
        <w:tab/>
      </w:r>
      <w:r>
        <w:rPr>
          <w:rFonts w:ascii="Times New Roman" w:hAnsi="Times New Roman"/>
          <w:noProof/>
          <w:sz w:val="24"/>
        </w:rPr>
        <w:t xml:space="preserve">De plus, le protocole d'accord bilatéral UE-Ukraine sur un partenariat stratégique dans le domaine de l'énergie du 24 novembre 2016 reconnaît que l’objectif du renforcement de la coopération dans le domaine de l’énergie et de la réforme du secteur de l’énergie est d'intégrer complètement les marchés de l'énergie de l'UE et de l'Ukraine.  </w:t>
      </w:r>
    </w:p>
    <w:p>
      <w:pPr>
        <w:ind w:left="720" w:hanging="720"/>
        <w:jc w:val="both"/>
        <w:rPr>
          <w:rFonts w:ascii="Times New Roman" w:hAnsi="Times New Roman" w:cs="Times New Roman"/>
          <w:noProof/>
          <w:sz w:val="24"/>
          <w:szCs w:val="24"/>
        </w:rPr>
      </w:pPr>
      <w:r>
        <w:rPr>
          <w:rFonts w:ascii="Times New Roman" w:hAnsi="Times New Roman"/>
          <w:noProof/>
          <w:sz w:val="24"/>
        </w:rPr>
        <w:t>(4)</w:t>
      </w:r>
      <w:r>
        <w:rPr>
          <w:noProof/>
        </w:rPr>
        <w:tab/>
      </w:r>
      <w:r>
        <w:rPr>
          <w:rFonts w:ascii="Times New Roman" w:hAnsi="Times New Roman"/>
          <w:noProof/>
          <w:sz w:val="24"/>
        </w:rPr>
        <w:t>L’article 1</w:t>
      </w:r>
      <w:r>
        <w:rPr>
          <w:rFonts w:ascii="Times New Roman" w:hAnsi="Times New Roman"/>
          <w:noProof/>
          <w:sz w:val="24"/>
          <w:vertAlign w:val="superscript"/>
        </w:rPr>
        <w:t>er</w:t>
      </w:r>
      <w:r>
        <w:rPr>
          <w:rFonts w:ascii="Times New Roman" w:hAnsi="Times New Roman"/>
          <w:noProof/>
          <w:sz w:val="24"/>
        </w:rPr>
        <w:t xml:space="preserve"> de l’accord fait état de l’objectif consistant à soutenir les efforts consentis par l’Ukraine pour mener à bien le processus de transition vers une économie de marché viable au moyen, entre autres, du rapprochement progressif de sa législation de celle de l'Union. </w:t>
      </w:r>
    </w:p>
    <w:p>
      <w:pPr>
        <w:ind w:left="720" w:hanging="720"/>
        <w:jc w:val="both"/>
        <w:rPr>
          <w:rFonts w:ascii="Times New Roman" w:hAnsi="Times New Roman" w:cs="Times New Roman"/>
          <w:noProof/>
          <w:sz w:val="24"/>
          <w:szCs w:val="24"/>
        </w:rPr>
      </w:pPr>
      <w:r>
        <w:rPr>
          <w:rFonts w:ascii="Times New Roman" w:hAnsi="Times New Roman"/>
          <w:noProof/>
          <w:sz w:val="24"/>
        </w:rPr>
        <w:t>(5)</w:t>
      </w:r>
      <w:r>
        <w:rPr>
          <w:noProof/>
        </w:rPr>
        <w:tab/>
      </w:r>
      <w:r>
        <w:rPr>
          <w:rFonts w:ascii="Times New Roman" w:hAnsi="Times New Roman"/>
          <w:noProof/>
          <w:sz w:val="24"/>
        </w:rPr>
        <w:t xml:space="preserve">En vertu de l’article 273 de l’accord, les parties adaptent leur législation, conformément à l'annexe XXVII de l’accord, de manière à faire en sorte que toutes les conditions pour le transport d’électricité et de gaz soient objectives, raisonnables, transparentes et non discriminatoires. </w:t>
      </w:r>
    </w:p>
    <w:p>
      <w:pPr>
        <w:ind w:left="720" w:hanging="720"/>
        <w:jc w:val="both"/>
        <w:rPr>
          <w:rFonts w:ascii="Times New Roman" w:hAnsi="Times New Roman" w:cs="Times New Roman"/>
          <w:noProof/>
          <w:sz w:val="24"/>
          <w:szCs w:val="24"/>
        </w:rPr>
      </w:pPr>
      <w:r>
        <w:rPr>
          <w:rFonts w:ascii="Times New Roman" w:hAnsi="Times New Roman"/>
          <w:noProof/>
          <w:sz w:val="24"/>
        </w:rPr>
        <w:t>(6)</w:t>
      </w:r>
      <w:r>
        <w:rPr>
          <w:noProof/>
        </w:rPr>
        <w:tab/>
      </w:r>
      <w:r>
        <w:rPr>
          <w:rFonts w:ascii="Times New Roman" w:hAnsi="Times New Roman"/>
          <w:noProof/>
          <w:sz w:val="24"/>
        </w:rPr>
        <w:t xml:space="preserve">En outre, afin d'œuvrer à l'intégration des marchés, l’article 337 de l’accord stipule que les parties poursuivent et renforcent leur coopération dans le domaine de l'énergie, notamment par le rapprochement progressif des réglementations dans ce secteur. </w:t>
      </w:r>
    </w:p>
    <w:p>
      <w:pPr>
        <w:ind w:left="720" w:hanging="720"/>
        <w:jc w:val="both"/>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L’article 341 de l’accord prévoit que le rapprochement progressif des réglementations dans le secteur de l'énergie est effectué conformément au calendrier prévu à l'annexe XXVII de l’accord.</w:t>
      </w:r>
    </w:p>
    <w:p>
      <w:pPr>
        <w:ind w:left="720" w:hanging="720"/>
        <w:jc w:val="both"/>
        <w:rPr>
          <w:rFonts w:ascii="Times New Roman" w:hAnsi="Times New Roman" w:cs="Times New Roman"/>
          <w:noProof/>
          <w:sz w:val="24"/>
          <w:szCs w:val="24"/>
        </w:rPr>
      </w:pPr>
      <w:r>
        <w:rPr>
          <w:rFonts w:ascii="Times New Roman" w:hAnsi="Times New Roman"/>
          <w:noProof/>
          <w:sz w:val="24"/>
        </w:rPr>
        <w:t>(8)</w:t>
      </w:r>
      <w:r>
        <w:rPr>
          <w:noProof/>
        </w:rPr>
        <w:tab/>
      </w:r>
      <w:r>
        <w:rPr>
          <w:rFonts w:ascii="Times New Roman" w:hAnsi="Times New Roman"/>
          <w:noProof/>
          <w:sz w:val="24"/>
        </w:rPr>
        <w:t>L’article 474 de l’accord réaffirme la volonté générale de l’Ukraine de procéder au rapprochement progressif de sa législation du droit de l'UE, y compris dans le secteur de l’énergie.</w:t>
      </w:r>
    </w:p>
    <w:p>
      <w:pPr>
        <w:ind w:left="720" w:hanging="720"/>
        <w:jc w:val="both"/>
        <w:rPr>
          <w:rFonts w:ascii="Times New Roman" w:hAnsi="Times New Roman" w:cs="Times New Roman"/>
          <w:noProof/>
          <w:sz w:val="24"/>
          <w:szCs w:val="24"/>
        </w:rPr>
      </w:pPr>
      <w:r>
        <w:rPr>
          <w:rFonts w:ascii="Times New Roman" w:hAnsi="Times New Roman"/>
          <w:noProof/>
          <w:sz w:val="24"/>
        </w:rPr>
        <w:t xml:space="preserve"> (9)</w:t>
      </w:r>
      <w:r>
        <w:rPr>
          <w:noProof/>
        </w:rPr>
        <w:tab/>
      </w:r>
      <w:r>
        <w:rPr>
          <w:rFonts w:ascii="Times New Roman" w:hAnsi="Times New Roman"/>
          <w:noProof/>
          <w:sz w:val="24"/>
        </w:rPr>
        <w:t>L’acquis de l’UE dans le secteur de l’énergie a considérablement évolué depuis la conclusion des négociations relatives à l’accord, tout comme les obligations de l’Ukraine découlant de la mise en œuvre de l'accord et de son adhésion au traité instituant la Communauté de l'énergie. Cette évolution doit transparaître dans l'annexe XXVII de l’accord, qu’il convient donc d’actualiser.</w:t>
      </w:r>
    </w:p>
    <w:p>
      <w:pPr>
        <w:ind w:left="720" w:hanging="720"/>
        <w:jc w:val="both"/>
        <w:rPr>
          <w:rFonts w:ascii="Times New Roman" w:hAnsi="Times New Roman" w:cs="Times New Roman"/>
          <w:noProof/>
          <w:sz w:val="24"/>
          <w:szCs w:val="24"/>
        </w:rPr>
      </w:pPr>
      <w:r>
        <w:rPr>
          <w:rFonts w:ascii="Times New Roman" w:hAnsi="Times New Roman"/>
          <w:noProof/>
          <w:sz w:val="24"/>
        </w:rPr>
        <w:t>(10)</w:t>
      </w:r>
      <w:r>
        <w:rPr>
          <w:noProof/>
        </w:rPr>
        <w:tab/>
      </w:r>
      <w:r>
        <w:rPr>
          <w:rFonts w:ascii="Times New Roman" w:hAnsi="Times New Roman"/>
          <w:noProof/>
          <w:sz w:val="24"/>
        </w:rPr>
        <w:t>L’article 475 de l’accord définit en termes généraux le suivi des progrès accomplis dans le rapprochement de la législation ukrainienne du droit de l’UE, y compris les aspects de mise en œuvre et de contrôle de l'application. Il prévoit que les travaux d'établissement de rapports et d'évaluation tiendront compte des modalités spécifiques définies dans l’accord ou dans des décisions rendues par les instances institutionnelles établies en vertu de celui-ci.</w:t>
      </w:r>
    </w:p>
    <w:p>
      <w:pPr>
        <w:ind w:left="720" w:hanging="720"/>
        <w:jc w:val="both"/>
        <w:rPr>
          <w:rFonts w:ascii="Times New Roman" w:hAnsi="Times New Roman" w:cs="Times New Roman"/>
          <w:noProof/>
          <w:sz w:val="24"/>
          <w:szCs w:val="24"/>
        </w:rPr>
      </w:pPr>
      <w:r>
        <w:rPr>
          <w:rFonts w:ascii="Times New Roman" w:hAnsi="Times New Roman"/>
          <w:noProof/>
          <w:sz w:val="24"/>
        </w:rPr>
        <w:t>(11)</w:t>
      </w:r>
      <w:r>
        <w:rPr>
          <w:noProof/>
        </w:rPr>
        <w:tab/>
      </w:r>
      <w:r>
        <w:rPr>
          <w:rFonts w:ascii="Times New Roman" w:hAnsi="Times New Roman"/>
          <w:noProof/>
          <w:sz w:val="24"/>
        </w:rPr>
        <w:t>Afin de garantir une mise en œuvre plus effective des réformes par l’Ukraine, il convient de renforcer le mécanisme de suivi de la réforme du secteur de l’énergie, de manière à ce que les réformes réalisées aient un caractère irréversible et contribuent ainsi de manière durable à la modernisation du secteur de l’énergie.</w:t>
      </w:r>
    </w:p>
    <w:p>
      <w:pPr>
        <w:ind w:left="720" w:hanging="720"/>
        <w:jc w:val="both"/>
        <w:rPr>
          <w:rFonts w:ascii="Times New Roman" w:hAnsi="Times New Roman" w:cs="Times New Roman"/>
          <w:noProof/>
          <w:sz w:val="24"/>
          <w:szCs w:val="24"/>
        </w:rPr>
      </w:pPr>
      <w:r>
        <w:rPr>
          <w:rFonts w:ascii="Times New Roman" w:hAnsi="Times New Roman"/>
          <w:noProof/>
          <w:sz w:val="24"/>
        </w:rPr>
        <w:t>(12)</w:t>
      </w:r>
      <w:r>
        <w:rPr>
          <w:noProof/>
        </w:rPr>
        <w:tab/>
      </w:r>
      <w:r>
        <w:rPr>
          <w:rFonts w:ascii="Times New Roman" w:hAnsi="Times New Roman"/>
          <w:noProof/>
          <w:sz w:val="24"/>
        </w:rPr>
        <w:t>Conformément à l’article 463, paragraphes 1 et 3, de l’accord, le conseil d'association UE-Ukraine (ci-après le «conseil d'association») peut adopter des décisions pour la réalisation des objectifs fixés par ledit accord. Il peut notamment actualiser ou modifier les annexes de l’accord, en fonction de l'évolution du droit de l'UE et des normes applicables énoncées dans les instruments internationaux jugés pertinents par les parties.</w:t>
      </w:r>
    </w:p>
    <w:p>
      <w:pPr>
        <w:ind w:left="720" w:hanging="720"/>
        <w:jc w:val="both"/>
        <w:rPr>
          <w:rFonts w:ascii="Times New Roman" w:hAnsi="Times New Roman" w:cs="Times New Roman"/>
          <w:noProof/>
          <w:sz w:val="24"/>
          <w:szCs w:val="24"/>
        </w:rPr>
      </w:pPr>
      <w:r>
        <w:rPr>
          <w:rFonts w:ascii="Times New Roman" w:hAnsi="Times New Roman"/>
          <w:noProof/>
          <w:sz w:val="24"/>
        </w:rPr>
        <w:t>(13)</w:t>
      </w:r>
      <w:r>
        <w:rPr>
          <w:noProof/>
        </w:rPr>
        <w:tab/>
      </w:r>
      <w:r>
        <w:rPr>
          <w:rFonts w:ascii="Times New Roman" w:hAnsi="Times New Roman"/>
          <w:noProof/>
          <w:sz w:val="24"/>
        </w:rPr>
        <w:t>Le conseil d’association doit dès lors modifier l’annexe XXVII de l’accord afin de définir des règles plus détaillées pour le suivi du rapprochement de la législation ukrainienne du droit de l’UE dans le secteur de l’énergie. À cette fin, il convient d’inclure dans l’annexe XXVII de l’accord des dispositions appropriées renforçant le processus de suivi,</w:t>
      </w:r>
    </w:p>
    <w:p>
      <w:pPr>
        <w:ind w:left="720" w:hanging="720"/>
        <w:jc w:val="both"/>
        <w:rPr>
          <w:rFonts w:ascii="Times New Roman" w:hAnsi="Times New Roman" w:cs="Times New Roman"/>
          <w:caps/>
          <w:noProof/>
          <w:sz w:val="24"/>
          <w:szCs w:val="24"/>
        </w:rPr>
      </w:pPr>
      <w:r>
        <w:rPr>
          <w:rFonts w:ascii="Times New Roman" w:hAnsi="Times New Roman"/>
          <w:noProof/>
          <w:sz w:val="24"/>
        </w:rPr>
        <w:t xml:space="preserve"> </w:t>
      </w:r>
      <w:r>
        <w:rPr>
          <w:rFonts w:ascii="Times New Roman" w:hAnsi="Times New Roman"/>
          <w:caps/>
          <w:noProof/>
          <w:sz w:val="24"/>
        </w:rPr>
        <w:t>A ADOPTÉ LA PRÉSENTE DÉCISION:</w:t>
      </w:r>
    </w:p>
    <w:p>
      <w:pPr>
        <w:ind w:left="720" w:hanging="720"/>
        <w:jc w:val="center"/>
        <w:rPr>
          <w:rFonts w:ascii="Times New Roman" w:hAnsi="Times New Roman" w:cs="Times New Roman"/>
          <w:noProof/>
          <w:sz w:val="24"/>
          <w:szCs w:val="24"/>
        </w:rPr>
      </w:pPr>
      <w:r>
        <w:rPr>
          <w:rFonts w:ascii="Times New Roman" w:hAnsi="Times New Roman"/>
          <w:noProof/>
          <w:sz w:val="24"/>
        </w:rPr>
        <w:t>Article premier</w:t>
      </w:r>
    </w:p>
    <w:p>
      <w:pPr>
        <w:spacing w:after="240"/>
        <w:ind w:left="720" w:hanging="720"/>
        <w:jc w:val="both"/>
        <w:rPr>
          <w:rFonts w:ascii="Times New Roman" w:hAnsi="Times New Roman" w:cs="Times New Roman"/>
          <w:noProof/>
          <w:sz w:val="24"/>
          <w:szCs w:val="24"/>
        </w:rPr>
      </w:pPr>
      <w:r>
        <w:rPr>
          <w:rFonts w:ascii="Times New Roman" w:hAnsi="Times New Roman"/>
          <w:noProof/>
          <w:sz w:val="24"/>
        </w:rPr>
        <w:t>L’annexe XXVII de l’accord est remplacée par l’annexe de la présente décision.</w:t>
      </w:r>
    </w:p>
    <w:p>
      <w:pPr>
        <w:spacing w:before="240"/>
        <w:ind w:left="720" w:hanging="720"/>
        <w:jc w:val="center"/>
        <w:rPr>
          <w:rFonts w:ascii="Times New Roman" w:hAnsi="Times New Roman" w:cs="Times New Roman"/>
          <w:noProof/>
          <w:sz w:val="24"/>
          <w:szCs w:val="24"/>
        </w:rPr>
      </w:pPr>
      <w:r>
        <w:rPr>
          <w:rFonts w:ascii="Times New Roman" w:hAnsi="Times New Roman"/>
          <w:noProof/>
          <w:sz w:val="24"/>
        </w:rPr>
        <w:t>Article 2</w:t>
      </w:r>
    </w:p>
    <w:p>
      <w:pPr>
        <w:ind w:left="720" w:hanging="720"/>
        <w:jc w:val="both"/>
        <w:rPr>
          <w:rFonts w:ascii="Times New Roman" w:hAnsi="Times New Roman" w:cs="Times New Roman"/>
          <w:noProof/>
          <w:sz w:val="24"/>
          <w:szCs w:val="24"/>
        </w:rPr>
      </w:pPr>
      <w:r>
        <w:rPr>
          <w:rFonts w:ascii="Times New Roman" w:hAnsi="Times New Roman"/>
          <w:noProof/>
          <w:sz w:val="24"/>
        </w:rPr>
        <w:t xml:space="preserve">La présente décision entre en vigueur le jour de son adoption. </w:t>
      </w:r>
    </w:p>
    <w:p>
      <w:pPr>
        <w:rPr>
          <w:rFonts w:ascii="Times New Roman" w:hAnsi="Times New Roman" w:cs="Times New Roman"/>
          <w:noProof/>
          <w:sz w:val="24"/>
          <w:szCs w:val="24"/>
        </w:rPr>
      </w:pPr>
      <w:r>
        <w:rPr>
          <w:rFonts w:ascii="Times New Roman" w:hAnsi="Times New Roman"/>
          <w:noProof/>
          <w:sz w:val="24"/>
        </w:rPr>
        <w:t xml:space="preserve">Fait à …, le </w:t>
      </w:r>
    </w:p>
    <w:p>
      <w:pPr>
        <w:ind w:left="720" w:hanging="720"/>
        <w:jc w:val="right"/>
        <w:rPr>
          <w:rFonts w:ascii="Times New Roman" w:hAnsi="Times New Roman" w:cs="Times New Roman"/>
          <w:i/>
          <w:noProof/>
          <w:sz w:val="24"/>
          <w:szCs w:val="24"/>
        </w:rPr>
      </w:pPr>
      <w:r>
        <w:rPr>
          <w:rFonts w:ascii="Times New Roman" w:hAnsi="Times New Roman"/>
          <w:i/>
          <w:noProof/>
          <w:sz w:val="24"/>
        </w:rPr>
        <w:t>Par le conseil d'association</w:t>
      </w:r>
    </w:p>
    <w:p>
      <w:pPr>
        <w:ind w:left="5760" w:firstLine="720"/>
        <w:rPr>
          <w:rFonts w:ascii="Times New Roman" w:hAnsi="Times New Roman" w:cs="Times New Roman"/>
          <w:i/>
          <w:noProof/>
          <w:sz w:val="24"/>
          <w:szCs w:val="24"/>
        </w:rPr>
      </w:pPr>
      <w:r>
        <w:rPr>
          <w:rFonts w:ascii="Times New Roman" w:hAnsi="Times New Roman"/>
          <w:i/>
          <w:noProof/>
          <w:sz w:val="24"/>
        </w:rPr>
        <w:t>Le président</w:t>
      </w:r>
    </w:p>
    <w:p>
      <w:pPr>
        <w:rPr>
          <w:rFonts w:ascii="Times New Roman" w:hAnsi="Times New Roman" w:cs="Times New Roman"/>
          <w:smallCaps/>
          <w:noProof/>
          <w:sz w:val="24"/>
          <w:szCs w:val="24"/>
        </w:rPr>
      </w:pPr>
      <w:r>
        <w:rPr>
          <w:noProof/>
        </w:rPr>
        <w:br w:type="page"/>
      </w:r>
    </w:p>
    <w:p>
      <w:pPr>
        <w:jc w:val="center"/>
        <w:rPr>
          <w:rFonts w:ascii="Times New Roman" w:hAnsi="Times New Roman" w:cs="Times New Roman"/>
          <w:b/>
          <w:smallCaps/>
          <w:noProof/>
          <w:sz w:val="24"/>
          <w:szCs w:val="24"/>
        </w:rPr>
      </w:pPr>
      <w:r>
        <w:rPr>
          <w:rFonts w:ascii="Times New Roman" w:hAnsi="Times New Roman"/>
          <w:b/>
          <w:smallCaps/>
          <w:noProof/>
          <w:sz w:val="24"/>
        </w:rPr>
        <w:t>Annexe</w:t>
      </w:r>
    </w:p>
    <w:p>
      <w:pPr>
        <w:jc w:val="center"/>
        <w:rPr>
          <w:rFonts w:ascii="Times New Roman" w:hAnsi="Times New Roman" w:cs="Times New Roman"/>
          <w:b/>
          <w:smallCaps/>
          <w:noProof/>
          <w:sz w:val="24"/>
          <w:szCs w:val="24"/>
        </w:rPr>
      </w:pPr>
      <w:r>
        <w:rPr>
          <w:rFonts w:ascii="Times New Roman" w:hAnsi="Times New Roman"/>
          <w:b/>
          <w:smallCaps/>
          <w:noProof/>
          <w:sz w:val="24"/>
        </w:rPr>
        <w:t>«Annexe XXVII relative au chapitre 1</w:t>
      </w:r>
    </w:p>
    <w:p>
      <w:pPr>
        <w:jc w:val="center"/>
        <w:rPr>
          <w:rFonts w:ascii="Times New Roman" w:hAnsi="Times New Roman" w:cs="Times New Roman"/>
          <w:b/>
          <w:smallCaps/>
          <w:noProof/>
          <w:sz w:val="24"/>
          <w:szCs w:val="24"/>
        </w:rPr>
      </w:pPr>
      <w:r>
        <w:rPr>
          <w:rFonts w:ascii="Times New Roman" w:hAnsi="Times New Roman"/>
          <w:b/>
          <w:smallCaps/>
          <w:noProof/>
          <w:sz w:val="24"/>
        </w:rPr>
        <w:t>Coopération dans le domaine de l'énergie, y compris le nucléaire</w:t>
      </w:r>
    </w:p>
    <w:p>
      <w:pPr>
        <w:rPr>
          <w:rFonts w:ascii="Times New Roman" w:hAnsi="Times New Roman" w:cs="Times New Roman"/>
          <w:noProof/>
          <w:sz w:val="24"/>
          <w:szCs w:val="24"/>
        </w:rPr>
      </w:pPr>
    </w:p>
    <w:p>
      <w:pPr>
        <w:jc w:val="center"/>
        <w:rPr>
          <w:rFonts w:ascii="Times New Roman" w:hAnsi="Times New Roman" w:cs="Times New Roman"/>
          <w:caps/>
          <w:noProof/>
          <w:sz w:val="24"/>
          <w:szCs w:val="24"/>
        </w:rPr>
      </w:pPr>
      <w:r>
        <w:rPr>
          <w:rFonts w:ascii="Times New Roman" w:hAnsi="Times New Roman"/>
          <w:caps/>
          <w:noProof/>
          <w:sz w:val="24"/>
        </w:rPr>
        <w:t>Annexe XXVII-1</w:t>
      </w:r>
    </w:p>
    <w:p>
      <w:pPr>
        <w:jc w:val="center"/>
        <w:rPr>
          <w:rFonts w:ascii="Times New Roman" w:hAnsi="Times New Roman" w:cs="Times New Roman"/>
          <w:caps/>
          <w:noProof/>
          <w:sz w:val="24"/>
          <w:szCs w:val="24"/>
        </w:rPr>
      </w:pPr>
      <w:r>
        <w:rPr>
          <w:rFonts w:ascii="Times New Roman" w:hAnsi="Times New Roman"/>
          <w:caps/>
          <w:noProof/>
          <w:sz w:val="24"/>
        </w:rPr>
        <w:t>Suivi du processus de rapprochement dans le secteur de l’énergie</w:t>
      </w:r>
    </w:p>
    <w:p>
      <w:pPr>
        <w:jc w:val="both"/>
        <w:rPr>
          <w:rFonts w:ascii="Times New Roman" w:hAnsi="Times New Roman" w:cs="Times New Roman"/>
          <w:noProof/>
          <w:sz w:val="24"/>
          <w:szCs w:val="24"/>
        </w:rPr>
      </w:pPr>
      <w:r>
        <w:rPr>
          <w:rFonts w:ascii="Times New Roman" w:hAnsi="Times New Roman"/>
          <w:noProof/>
          <w:sz w:val="24"/>
        </w:rPr>
        <w:t xml:space="preserve">Afin de renforcer le suivi du processus de rapprochement du droit interne ukrainien de l’acquis de l’UE dans le secteur de l’énergie et de parvenir à une modernisation durable du secteur de l’énergie en Ukraine, les parties appliquent les mesures supplémentaires suivantes, conformément à l’article 475, paragraphe 2, de l’accord. Ces mesures ne sauraient porter atteinte aux droits et obligations de chaque partie découlant de leur adhésion au traité instituant la Communauté de l'énergie. </w:t>
      </w:r>
    </w:p>
    <w:p>
      <w:pPr>
        <w:jc w:val="both"/>
        <w:rPr>
          <w:rFonts w:ascii="Times New Roman" w:hAnsi="Times New Roman" w:cs="Times New Roman"/>
          <w:i/>
          <w:noProof/>
          <w:sz w:val="24"/>
          <w:szCs w:val="24"/>
        </w:rPr>
      </w:pPr>
      <w:r>
        <w:rPr>
          <w:rFonts w:ascii="Times New Roman" w:hAnsi="Times New Roman"/>
          <w:i/>
          <w:noProof/>
          <w:sz w:val="24"/>
        </w:rPr>
        <w:t xml:space="preserve">Mise en œuvre effective de l’acquis de l’UE </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La Commission européenne informe rapidement l’Ukraine de tout acte de l’UE modifiant l’acquis de l’UE énuméré dans la présente annexe et de toute proposition de la Commission européenne visant à adopter ou à modifier des dispositions relevant dudit acquis.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L’Ukraine veille à la mise en œuvre effective des actes internes faisant l’objet d’un rapprochement et entreprend toute action nécessaire pour tenir compte de l’évolution du droit de l’Union dans sa législation interne dans le secteur de l’énergie, conformément à la liste figurant à l’annexe XXVII-2. En particulier, tout acte correspondant à:  </w:t>
      </w:r>
    </w:p>
    <w:p>
      <w:pPr>
        <w:pStyle w:val="ListParagraph"/>
        <w:numPr>
          <w:ilvl w:val="1"/>
          <w:numId w:val="11"/>
        </w:numPr>
        <w:jc w:val="both"/>
        <w:rPr>
          <w:rFonts w:ascii="Times New Roman" w:hAnsi="Times New Roman" w:cs="Times New Roman"/>
          <w:noProof/>
          <w:sz w:val="24"/>
          <w:szCs w:val="24"/>
        </w:rPr>
      </w:pPr>
      <w:r>
        <w:rPr>
          <w:rFonts w:ascii="Times New Roman" w:hAnsi="Times New Roman"/>
          <w:noProof/>
          <w:sz w:val="24"/>
        </w:rPr>
        <w:t>un règlement ou une décision de l’UE est intégré dans l’ordre juridique interne de l’Ukraine;</w:t>
      </w:r>
    </w:p>
    <w:p>
      <w:pPr>
        <w:pStyle w:val="ListParagraph"/>
        <w:numPr>
          <w:ilvl w:val="1"/>
          <w:numId w:val="11"/>
        </w:numPr>
        <w:jc w:val="both"/>
        <w:rPr>
          <w:rFonts w:ascii="Times New Roman" w:hAnsi="Times New Roman" w:cs="Times New Roman"/>
          <w:noProof/>
          <w:sz w:val="24"/>
          <w:szCs w:val="24"/>
        </w:rPr>
      </w:pPr>
      <w:r>
        <w:rPr>
          <w:rFonts w:ascii="Times New Roman" w:hAnsi="Times New Roman"/>
          <w:noProof/>
          <w:sz w:val="24"/>
        </w:rPr>
        <w:t xml:space="preserve">une directive de l’UE laisse aux autorités de l'Ukraine la compétence quant à la forme et aux moyens de sa mise en œuvre; </w:t>
      </w:r>
    </w:p>
    <w:p>
      <w:pPr>
        <w:pStyle w:val="ListParagraph"/>
        <w:numPr>
          <w:ilvl w:val="1"/>
          <w:numId w:val="11"/>
        </w:numPr>
        <w:jc w:val="both"/>
        <w:rPr>
          <w:rFonts w:ascii="Times New Roman" w:hAnsi="Times New Roman" w:cs="Times New Roman"/>
          <w:noProof/>
          <w:sz w:val="24"/>
          <w:szCs w:val="24"/>
        </w:rPr>
      </w:pPr>
      <w:r>
        <w:rPr>
          <w:rFonts w:ascii="Times New Roman" w:hAnsi="Times New Roman"/>
          <w:noProof/>
          <w:sz w:val="24"/>
        </w:rPr>
        <w:t xml:space="preserve">un règlement de la Commission relatif à un code de réseau dans les secteurs de l’électricité ou du gaz est intégré dans l’ordre juridique interne de l’Ukraine sans que la structure ni le texte du règlement ne soient modifiés, si ce n'est par sa traduction, à moins que de telles modifications ne soient indiquées comme nécessaires par la Commission européenne.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L’Ukraine s'abstient de toute action susceptible de porter atteinte à l'objectif ou au résultat du processus de rapprochement de son droit interne de l'acquis de l’UE dans le secteur de l’énergie énuméré à l’annexe XXVII-2.</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L’Ukraine abroge les dispositions de son droit interne ou met un terme aux pratiques internes qui sont incompatibles avec le droit de l'Union ou avec son droit interne faisant l’objet d’un rapprochement du droit de l’UE dans le secteur de l’énergie énuméré à l’annexe XXVII-2.</w:t>
      </w:r>
    </w:p>
    <w:p>
      <w:pPr>
        <w:jc w:val="both"/>
        <w:rPr>
          <w:rFonts w:ascii="Times New Roman" w:hAnsi="Times New Roman" w:cs="Times New Roman"/>
          <w:i/>
          <w:noProof/>
          <w:sz w:val="24"/>
          <w:szCs w:val="24"/>
        </w:rPr>
      </w:pPr>
      <w:r>
        <w:rPr>
          <w:rFonts w:ascii="Times New Roman" w:hAnsi="Times New Roman"/>
          <w:i/>
          <w:noProof/>
          <w:sz w:val="24"/>
        </w:rPr>
        <w:t>Consultations</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L’Ukraine consulte la Commission européenne au sujet de la compatibilité avec l’acquis de l’UE de toute proposition législative dans les domaines dans lesquels l’Ukraine doit rapprocher sa législation des actes juridiques de l’Union énumérés à l’annexe XXVII-2, avant son entrée en vigueur. L’obligation de consultation englobe les propositions de modification de l’acte législatif interne ayant déjà fait l’objet d’un rapprochement, quelle que soit la forme juridique de la proposition.</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Le gouvernement ukrainien peut consulter la Commission européenne au sujet de la compatibilité avec l’acquis de l’UE de toute proposition d’acte mettant en œuvre la législation dans le secteur de l’énergie qui a fait ou va faire l’objet d’un rapprochement de l’acquis de l’UE énuméré à l’annexe XXVII-2. Si le gouvernement ukrainien décide de consulter la Commission européenne au sujet d'un tel acte, le point 7 s’applique.</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L’Ukraine s’abstient de mettre en application les actes soumis pour consultation visés aux points 5 et 6 avant que la Commission européenne n’ait apprécié la compatibilité de l'acte proposé avec l’acquis correspondant de l’UE et lorsque la Commission européenne a conclu qu’il était incompatible avec ledit acquis.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L’évaluation de la compatibilité par la Commission européenne peut notamment conduire à des recommandations relatives à l’acte proposé ou à une partie de celui-ci, que la Commission européenne juge incompatible avec l’acquis de l’UE. Aux fins de l’évaluation, la Commission européenne peut consulter le secrétariat de la Communauté de l'énergie ou organiser des missions d’experts, si elle le juge nécessaire. L’évaluation de la compatibilité est conclue dans les trois mois suivant la date de réception de la version anglaise de l’acte proposé ou dans un délai plus long convenu par la Commission européenne et l’Ukraine. En l’absence de réponse de la Commission européenne dans ce délai, l’Ukraine peut mettre en application l’acte proposé. L’absence de réponse dans ce délai ne signifie pas pour autant que la Commission européenne juge l’acte proposé compatible avec l’acquis de l’UE.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L’Ukraine communique à la Commission européenne la version finale de chaque acte dans les domaines dans lesquels l’Ukraine doit rapprocher sa législation de l’acquis de l’UE énuméré à l’annexe XXVII-2 ou de chaque acte qui modifie un acte législatif interne ayant fait l’objet d’un rapprochement dans les mêmes domaines.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Le gouvernement ukrainien peut porter tout autre acte ou toute autre proposition dans le domaine de l’énergie relevant de l’accord à l’attention de la Commission européenne, afin de lui demander un avis non contraignant concernant la compatibilité de l’acte avec l’acquis de l’UE énuméré à l’annexe XXVII-2.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Les parties échangent les informations prévues dans la présente annexe par l’intermédiaire des secrétaires du comité d’association. </w:t>
      </w:r>
    </w:p>
    <w:p>
      <w:pPr>
        <w:jc w:val="both"/>
        <w:rPr>
          <w:rFonts w:ascii="Times New Roman" w:hAnsi="Times New Roman" w:cs="Times New Roman"/>
          <w:i/>
          <w:noProof/>
          <w:sz w:val="24"/>
          <w:szCs w:val="24"/>
        </w:rPr>
      </w:pPr>
      <w:r>
        <w:rPr>
          <w:rFonts w:ascii="Times New Roman" w:hAnsi="Times New Roman"/>
          <w:i/>
          <w:noProof/>
          <w:sz w:val="24"/>
        </w:rPr>
        <w:t>Rapports au conseil d’association</w:t>
      </w: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La Commission européenne fait part au conseil d’association, préalablement à la réunion annuelle de ce dernier, de l’ensemble des demandes d'avis formulées par l’Ukraine et de l’ensemble des avis émis à l’intention de ce pays conformément à la présente annexe concernant la conformité des actes internes ukrainiens avec l’acquis de l’UE.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 xml:space="preserve">L’Ukraine rend compte par écrit au conseil d’association, trois mois avant la réunion annuelle de ce dernier, des progrès réalisés dans la mise en œuvre de la réforme du secteur de l’énergie, en se fondant sur l’acquis de l’UE énuméré à l’annexe XXVII-2. Le rapport détaille la manière dont l’Ukraine a tenu compte des avis et recommandations émis par la Commission européenne dans les actes qu'elle a adoptés, tout en fournissant des renseignements sur l’application effective des lois adoptées. </w:t>
      </w:r>
    </w:p>
    <w:p>
      <w:pPr>
        <w:pStyle w:val="ListParagraph"/>
        <w:ind w:left="360"/>
        <w:jc w:val="both"/>
        <w:rPr>
          <w:rFonts w:ascii="Times New Roman" w:hAnsi="Times New Roman" w:cs="Times New Roman"/>
          <w:noProof/>
          <w:sz w:val="24"/>
          <w:szCs w:val="24"/>
        </w:rPr>
      </w:pPr>
    </w:p>
    <w:p>
      <w:pPr>
        <w:pStyle w:val="ListParagraph"/>
        <w:numPr>
          <w:ilvl w:val="0"/>
          <w:numId w:val="11"/>
        </w:numPr>
        <w:ind w:left="360"/>
        <w:jc w:val="both"/>
        <w:rPr>
          <w:rFonts w:ascii="Times New Roman" w:hAnsi="Times New Roman" w:cs="Times New Roman"/>
          <w:noProof/>
          <w:sz w:val="24"/>
          <w:szCs w:val="24"/>
        </w:rPr>
      </w:pPr>
      <w:r>
        <w:rPr>
          <w:rFonts w:ascii="Times New Roman" w:hAnsi="Times New Roman"/>
          <w:noProof/>
          <w:sz w:val="24"/>
        </w:rPr>
        <w:t>Les résultats des activités de suivi sont soumis à l'examen de l’ensemble des instances compétentes établies en vertu du présent accord, y compris aux fins des recommandations visées à l’article 475, paragraphe 4, de l’accord.</w:t>
      </w:r>
    </w:p>
    <w:p>
      <w:pPr>
        <w:rPr>
          <w:rFonts w:ascii="Times New Roman" w:hAnsi="Times New Roman" w:cs="Times New Roman"/>
          <w:noProof/>
          <w:sz w:val="24"/>
          <w:szCs w:val="24"/>
        </w:rPr>
      </w:pPr>
      <w:r>
        <w:rPr>
          <w:noProof/>
        </w:rPr>
        <w:br w:type="page"/>
      </w:r>
    </w:p>
    <w:p>
      <w:pPr>
        <w:jc w:val="center"/>
        <w:rPr>
          <w:rFonts w:ascii="Times New Roman" w:hAnsi="Times New Roman" w:cs="Times New Roman"/>
          <w:caps/>
          <w:noProof/>
          <w:sz w:val="24"/>
          <w:szCs w:val="24"/>
        </w:rPr>
      </w:pPr>
      <w:r>
        <w:rPr>
          <w:rFonts w:ascii="Times New Roman" w:hAnsi="Times New Roman"/>
          <w:caps/>
          <w:noProof/>
          <w:sz w:val="24"/>
        </w:rPr>
        <w:t>Annexe XXVII-2</w:t>
      </w:r>
    </w:p>
    <w:p>
      <w:pPr>
        <w:jc w:val="center"/>
        <w:rPr>
          <w:rFonts w:ascii="Times New Roman" w:hAnsi="Times New Roman" w:cs="Times New Roman"/>
          <w:caps/>
          <w:noProof/>
          <w:sz w:val="24"/>
          <w:szCs w:val="24"/>
        </w:rPr>
      </w:pPr>
      <w:r>
        <w:rPr>
          <w:rFonts w:ascii="Times New Roman" w:hAnsi="Times New Roman"/>
          <w:caps/>
          <w:noProof/>
          <w:sz w:val="24"/>
        </w:rPr>
        <w:t>Obligations en matière de rapprochement incombant à l’Ukraine dans le secteur de l’énergie</w:t>
      </w:r>
    </w:p>
    <w:p>
      <w:pPr>
        <w:jc w:val="center"/>
        <w:rPr>
          <w:rFonts w:ascii="Times New Roman" w:hAnsi="Times New Roman" w:cs="Times New Roman"/>
          <w:caps/>
          <w:noProof/>
          <w:sz w:val="24"/>
          <w:szCs w:val="24"/>
        </w:rPr>
      </w:pPr>
    </w:p>
    <w:p>
      <w:pPr>
        <w:rPr>
          <w:rFonts w:ascii="Times New Roman" w:hAnsi="Times New Roman" w:cs="Times New Roman"/>
          <w:noProof/>
          <w:sz w:val="24"/>
          <w:szCs w:val="24"/>
        </w:rPr>
      </w:pPr>
      <w:r>
        <w:rPr>
          <w:rFonts w:ascii="Times New Roman" w:hAnsi="Times New Roman"/>
          <w:noProof/>
          <w:sz w:val="24"/>
        </w:rPr>
        <w:t>L'Ukraine s'engage à rapprocher progressivement, dans les délais impartis, sa législation des textes législatifs de l'Union européenne énumérés ci-après.</w:t>
      </w:r>
    </w:p>
    <w:p>
      <w:pPr>
        <w:rPr>
          <w:rFonts w:ascii="Times New Roman" w:hAnsi="Times New Roman" w:cs="Times New Roman"/>
          <w:b/>
          <w:noProof/>
          <w:sz w:val="24"/>
          <w:szCs w:val="24"/>
        </w:rPr>
      </w:pPr>
      <w:r>
        <w:rPr>
          <w:rFonts w:ascii="Times New Roman" w:hAnsi="Times New Roman"/>
          <w:b/>
          <w:noProof/>
          <w:sz w:val="24"/>
        </w:rPr>
        <w:t>1. Acquis de l’UE que l’Ukraine s’est engagée à mettre en œuvre dans le cadre du traité instituant la Communauté de l'énergie. Les délais convenus dans ce cadre s’appliquent à la présente annexe.</w:t>
      </w: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rPr>
                <w:rFonts w:ascii="Times New Roman" w:hAnsi="Times New Roman" w:cs="Times New Roman"/>
                <w:b/>
                <w:noProof/>
                <w:sz w:val="24"/>
                <w:szCs w:val="24"/>
              </w:rPr>
            </w:pPr>
            <w:r>
              <w:rPr>
                <w:rFonts w:ascii="Times New Roman" w:hAnsi="Times New Roman"/>
                <w:b/>
                <w:noProof/>
                <w:sz w:val="24"/>
              </w:rPr>
              <w:t>Électricité</w:t>
            </w:r>
          </w:p>
          <w:p>
            <w:pPr>
              <w:rPr>
                <w:rFonts w:ascii="Times New Roman" w:hAnsi="Times New Roman" w:cs="Times New Roman"/>
                <w:b/>
                <w:noProof/>
                <w:sz w:val="24"/>
                <w:szCs w:val="24"/>
              </w:rPr>
            </w:pPr>
          </w:p>
        </w:tc>
      </w:tr>
      <w:tr>
        <w:trPr>
          <w:trHeight w:val="877"/>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2009/72/CE du Parlement européen et du Conseil du 13 juillet 2009 concernant des règles communes pour le marché intérieur de l’électricité et abrogeant la directive 2003/54/CE</w:t>
            </w:r>
          </w:p>
        </w:tc>
      </w:tr>
      <w:tr>
        <w:trPr>
          <w:trHeight w:val="88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(CE) nº 714/2009 du Parlement européen et du Conseil du 13 juillet 2009 sur les conditions d’accès au réseau pour les échanges transfrontaliers d’électricité et abrogeant le règlement (CE) nº 1228/2003</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nº 1227/2011 du Parlement européen et du Conseil du 25 octobre 2011 concernant l'intégrité et la transparence du marché de gros de l'énergie</w:t>
            </w:r>
          </w:p>
        </w:tc>
      </w:tr>
      <w:tr>
        <w:trPr>
          <w:trHeight w:val="649"/>
        </w:trP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2005/89/CE du Parlement européen et du Conseil du 18 janvier 2006 concernant des mesures visant à garantir la sécurité de l’approvisionnement en électricité et les investissements dans les infrastructures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n° 838/2010 de la Commission du 23 septembre 2010 fixant des orientations relatives au mécanisme de compensation entre gestionnaires de réseau de transport et à une approche réglementaire commune pour la fixation des redevances de transport</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n° 543/2013 de la Commission du 14 juin 2013 concernant la soumission et la publication de données sur les marchés de l’électricité et modifiant l’annexe I du règlement (CE) n° 714/2009 du Parlement européen et du Conseil</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Règlement (UE) 2016/1388 de la Commission du 17 août 2016 établissant un code de réseau sur le raccordement des réseaux de distribution et des installations de consommation </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2016/631 de la Commission du 14 avril 2016 établissant un code de réseau sur les exigences applicables au raccordement au réseau des installations de production d'électricité</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2016/1447 de la Commission du 26 août 2016 établissant un code de réseau relatif aux exigences applicables au raccordement au réseau des systèmes en courant continu à haute tension et des parcs non synchrones de générateurs raccordés en courant continu</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2016/1952 du Parlement européen et du Conseil du 26 octobre 2016 sur les statistiques européennes concernant les prix du gaz et de l'électricité et abrogeant la directive 2008/92/CE</w:t>
            </w:r>
          </w:p>
          <w:p>
            <w:pPr>
              <w:spacing w:after="240"/>
              <w:jc w:val="both"/>
              <w:rPr>
                <w:rFonts w:ascii="Times New Roman" w:hAnsi="Times New Roman" w:cs="Times New Roman"/>
                <w:noProof/>
                <w:sz w:val="24"/>
                <w:szCs w:val="24"/>
              </w:rPr>
            </w:pP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Gaz</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2009/73/CE du Parlement européen et du Conseil du 13 juillet 2009 concernant des règles communes pour le marché intérieur du gaz naturel et abrogeant la directive 2003/55/CE</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(CE) nº 715/2009 du Parlement européen et du Conseil du 13 juillet 2009 concernant les conditions d'accès aux réseaux de transport de gaz naturel et abrogeant le règlement (CE) nº 1775/2005</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2004/67/CE du Conseil du 26 avril 2004 concernant des mesures visant à garantir la sécurité de l'approvisionnement en gaz naturel</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2015/703 de la Commission du 30 avril 2015 établissant un code de réseau sur les règles en matière d'interopérabilité et d'échange de données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2017/459 de la Commission du 16 mars 2017 établissant un code de réseau sur les mécanismes d'attribution des capacités dans les systèmes de transport de gaz et abrogeant le règlement (UE) n° 984/2013</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2017/460 de la Commission du 16 mars 2017 établissant un code de réseau sur l'harmonisation des structures tarifaires pour le transport du gaz</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Sources d’énergie renouvelables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2009/28/CE du Parlement européen et du Conseil du 23 avril 2009 relative à la promotion de l’utilisation de l’énergie produite à partir de sources renouvelables et modifiant puis abrogeant les directives 2001/77/CE et 2003/30/CE</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Pétrole</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2009/119/CE du Conseil du 14 septembre 2009 faisant obligation aux États membres de maintenir un niveau minimal de stocks de pétrole brut et/ou de produits pétroliers</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Infrastructures énergétiques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Règlement (UE) n° 347/2013 du Parlement européen et du Conseil du 17 avril 2013 concernant des orientations pour les infrastructures énergétiques transeuropéennes, et abrogeant la décision n° 1364/2006/CE et modifiant les règlements (CE) n° 713/2009, (CE) n° 714/2009 et (CE) n° 715/2009 </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Efficacité énergétique</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2012/27/UE du Parlement européen et du Conseil du 25 octobre 2012 relative à l'efficacité énergétique, modifiant les directives 2009/125/CE et 2010/30/UE et abrogeant les directives 2004/8/CE et 2006/32/CE</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Directive 2010/31/UE du Parlement européen et du Conseil du 19 mai 2010 sur la performance énergétique des bâtiments </w:t>
            </w:r>
          </w:p>
        </w:tc>
      </w:tr>
    </w:tbl>
    <w:p>
      <w:pPr>
        <w:rPr>
          <w:noProof/>
        </w:rPr>
      </w:pPr>
    </w:p>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288"/>
      </w:tblGrid>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Règlement (UE) 2017/1369 du Parlement européen et du Conseil du 4 juillet 2017 établissant un cadre pour l'étiquetage énergétique et abrogeant la directive 2010/30/UE </w:t>
            </w:r>
          </w:p>
          <w:p>
            <w:pPr>
              <w:spacing w:after="240"/>
              <w:jc w:val="both"/>
              <w:rPr>
                <w:rFonts w:ascii="Times New Roman" w:hAnsi="Times New Roman" w:cs="Times New Roman"/>
                <w:noProof/>
                <w:sz w:val="24"/>
                <w:szCs w:val="24"/>
              </w:rPr>
            </w:pPr>
            <w:r>
              <w:rPr>
                <w:rFonts w:ascii="Times New Roman" w:hAnsi="Times New Roman"/>
                <w:noProof/>
                <w:sz w:val="24"/>
              </w:rPr>
              <w:t>Règlements d’exécution:</w:t>
            </w: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noProof/>
                <w:sz w:val="24"/>
              </w:rPr>
              <w:t>Règlement délégué (UE) n° 518/2014 de la Commission du 5 mars 2014 modifiant les règlements délégués de la Commission (UE) n° 1059/2010, (UE) n° 1060/2010, (UE) n° 1061/2010, (UE) n° 1062/2010, (UE) n° 626/2011, (UE) n° 392/2012, (UE) n° 874/2012, (UE) n° 665/2013, (UE) n° 811/2013 et (UE) n° 812/2013 en ce qui concerne l'étiquetage des produits liés à l'énergie sur l'internet</w:t>
            </w:r>
          </w:p>
          <w:p>
            <w:pPr>
              <w:pStyle w:val="ListParagraph"/>
              <w:spacing w:after="240"/>
              <w:jc w:val="both"/>
              <w:rPr>
                <w:rFonts w:ascii="Times New Roman" w:hAnsi="Times New Roman" w:cs="Times New Roman"/>
                <w:noProof/>
                <w:sz w:val="24"/>
                <w:szCs w:val="24"/>
              </w:rPr>
            </w:pPr>
          </w:p>
          <w:p>
            <w:pPr>
              <w:pStyle w:val="ListParagraph"/>
              <w:numPr>
                <w:ilvl w:val="0"/>
                <w:numId w:val="18"/>
              </w:numPr>
              <w:spacing w:after="240"/>
              <w:jc w:val="both"/>
              <w:rPr>
                <w:rFonts w:ascii="Times New Roman" w:hAnsi="Times New Roman" w:cs="Times New Roman"/>
                <w:noProof/>
                <w:sz w:val="24"/>
                <w:szCs w:val="24"/>
              </w:rPr>
            </w:pPr>
            <w:r>
              <w:rPr>
                <w:rFonts w:ascii="Times New Roman" w:hAnsi="Times New Roman"/>
                <w:noProof/>
                <w:sz w:val="24"/>
              </w:rPr>
              <w:t>Règlement délégué (UE) 2017/254 de la Commission du 30 novembre 2016 modifiant les règlements délégués (UE) n° 1059/2010, (UE) n° 1060/2010, (UE) n° 1061/2010, (UE) n° 1062/2010, (UE) n° 626/2011, (UE) n° 392/2012, (UE) n° 874/2012, (UE) n° 665/2013, (UE) n° 811/2013, (UE) n° 812/2013, (UE) n° 65/2014, (UE) n° 1254/2014, (UE) 2015/1094, (UE) 2015/1186 et (UE) 2015/1187 en ce qui concerne l'utilisation des tolérances dans les procédures de vérification</w:t>
            </w:r>
          </w:p>
          <w:p>
            <w:pPr>
              <w:pStyle w:val="ListParagraph"/>
              <w:spacing w:after="240"/>
              <w:jc w:val="both"/>
              <w:rPr>
                <w:rFonts w:ascii="Times New Roman" w:hAnsi="Times New Roman" w:cs="Times New Roman"/>
                <w:noProof/>
                <w:sz w:val="24"/>
                <w:szCs w:val="24"/>
              </w:rPr>
            </w:pP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Règlement délégué (UE) n° 1060/2010 de la Commission du 28 septembre 2010 complétant la directive 2010/30/UE du Parlement européen et du Conseil en ce qui concerne l'indication, par voie d'étiquetage, de la consommation d'énergie des appareils de réfrigération ménagers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délégué (UE) n° 65/2014 de la Commission du 1</w:t>
            </w:r>
            <w:r>
              <w:rPr>
                <w:rFonts w:ascii="Times New Roman" w:hAnsi="Times New Roman"/>
                <w:noProof/>
                <w:sz w:val="24"/>
                <w:vertAlign w:val="superscript"/>
              </w:rPr>
              <w:t>er</w:t>
            </w:r>
            <w:r>
              <w:rPr>
                <w:rFonts w:ascii="Times New Roman" w:hAnsi="Times New Roman"/>
                <w:noProof/>
                <w:sz w:val="24"/>
              </w:rPr>
              <w:t> octobre 2013 complétant la directive 2010/30/UE du Parlement européen et du Conseil en ce qui concerne l'étiquetage énergétique des fours et des hottes domestiques</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Règlement délégué (UE) n° 626/2011 de la Commission du 4 mai 2011 complétant la directive 2010/30/UE du Parlement européen et du Conseil en ce qui concerne l'indication, par voie d'étiquetage, de la consommation d'énergie des climatiseurs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Règlement délégué (UE) n° 874/2012 de la Commission du 12 juillet 2012 complétant la directive 2010/30/UE du Parlement européen et du Conseil en ce qui concerne l'étiquetage énergétique des lampes électriques et des luminaires </w:t>
            </w:r>
          </w:p>
          <w:p>
            <w:pPr>
              <w:pStyle w:val="ListParagraph"/>
              <w:numPr>
                <w:ilvl w:val="0"/>
                <w:numId w:val="18"/>
              </w:numPr>
              <w:spacing w:after="240"/>
              <w:contextualSpacing w:val="0"/>
              <w:jc w:val="both"/>
              <w:rPr>
                <w:rFonts w:ascii="Times New Roman" w:hAnsi="Times New Roman" w:cs="Times New Roman"/>
                <w:noProof/>
                <w:sz w:val="24"/>
                <w:szCs w:val="24"/>
              </w:rPr>
            </w:pPr>
            <w:r>
              <w:rPr>
                <w:rFonts w:ascii="Times New Roman" w:hAnsi="Times New Roman"/>
                <w:noProof/>
                <w:sz w:val="24"/>
              </w:rPr>
              <w:t xml:space="preserve">Règlement délégué (UE) n° 1059/2010 de la Commission du 28 septembre 2010 complétant la directive 2010/30/UE du Parlement européen et du Conseil en ce qui concerne l'indication, par voie d'étiquetage, de la consommation d'énergie des lave-vaisselle ménagers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Directive 96/60/CE de la Commission du 19 septembre 1996 portant modalités d'application de la directive 92/75/CEE du Conseil en ce qui concerne l'indication de la consommation d'énergie des lavantes-séchantes domestiques combinées</w:t>
            </w:r>
          </w:p>
          <w:p>
            <w:pPr>
              <w:pStyle w:val="ListParagraph"/>
              <w:numPr>
                <w:ilvl w:val="0"/>
                <w:numId w:val="4"/>
              </w:numPr>
              <w:spacing w:after="240"/>
              <w:ind w:left="720"/>
              <w:contextualSpacing w:val="0"/>
              <w:jc w:val="both"/>
              <w:rPr>
                <w:rStyle w:val="s1"/>
                <w:rFonts w:ascii="Times New Roman" w:hAnsi="Times New Roman" w:cs="Times New Roman"/>
                <w:noProof/>
                <w:sz w:val="24"/>
                <w:szCs w:val="24"/>
              </w:rPr>
            </w:pPr>
            <w:r>
              <w:rPr>
                <w:rStyle w:val="s1"/>
                <w:rFonts w:ascii="Times New Roman" w:hAnsi="Times New Roman"/>
                <w:noProof/>
                <w:sz w:val="24"/>
              </w:rPr>
              <w:t>Règlement délégué (UE) n° 392/2012 de la Commission du 1</w:t>
            </w:r>
            <w:r>
              <w:rPr>
                <w:rStyle w:val="s1"/>
                <w:rFonts w:ascii="Times New Roman" w:hAnsi="Times New Roman"/>
                <w:noProof/>
                <w:sz w:val="24"/>
                <w:vertAlign w:val="superscript"/>
              </w:rPr>
              <w:t>er</w:t>
            </w:r>
            <w:r>
              <w:rPr>
                <w:rStyle w:val="s1"/>
                <w:rFonts w:ascii="Times New Roman" w:hAnsi="Times New Roman"/>
                <w:noProof/>
                <w:sz w:val="24"/>
              </w:rPr>
              <w:t xml:space="preserve"> mars 2012 complétant la directive 2010/30/UE du Parlement européen et du Conseil en ce qui concerne l'indication, par voie d'étiquetage, de la consommation d'énergie des sèche-linge domestiques à tambour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 xml:space="preserve">Règlement délégué (UE) n° 1061/2010 de la Commission du 28 septembre 2010 complétant la directive 2010/30/UE du Parlement européen et du Conseil en ce qui concerne l'indication, par voie d'étiquetage, de la consommation d'énergie des lave-linge ménagers </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n° 665/2013 de la Commission du 3 mai 2013 complétant la directive 2010/30/UE du Parlement européen et du Conseil en ce qui concerne l'étiquetage énergétique des aspirateurs</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n° 812/2013 de la Commission du 18 février 2013 complétant la directive 2010/30/UE du Parlement européen et du Conseil en ce qui concerne l'étiquetage énergétique des chauffe-eau, des ballons d'eau chaude et des produits combinés constitués d'un chauffe-eau et d'un dispositif solaire</w:t>
            </w:r>
          </w:p>
          <w:p>
            <w:pPr>
              <w:pStyle w:val="ListParagraph"/>
              <w:numPr>
                <w:ilvl w:val="0"/>
                <w:numId w:val="4"/>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n° 811/2013 de la Commission du 18 février 2013 complétant la directive 2010/30/UE du Parlement européen et du Conseil en ce qui concerne l'étiquetage énergétique des dispositifs de chauffage des locaux, des dispositifs de chauffage mixtes, des produits combinés constitués d'un dispositif de chauffage des locaux, d'un régulateur de température et d'un dispositif solaire et des produits combinés constitués d'un dispositif de chauffage mixte, d'un régulateur de température et d'un dispositif solaire</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n° 1062/2010 de la Commission du 28 septembre 2010 complétant la directive 2010/30/UE du Parlement européen et du Conseil en ce qui concerne l'indication, par voie d'étiquetage, de la consommation d'énergie des téléviseurs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n° 1254/2014 de la Commission du 11 juillet 2014 complétant la directive 2010/30/UE du Parlement européen et du Conseil en ce qui concerne l'étiquetage énergétique des unités de ventilation résidentielles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2015/1094 de la Commission du 5 mai 2015 complétant la directive 2010/30/UE du Parlement européen et du Conseil en ce qui concerne l'étiquetage énergétique des armoires frigorifiques professionnelles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2015/1186 de la Commission du 24 avril 2015 complétant la directive 2010/30/UE du Parlement européen et du Conseil en ce qui concerne l'étiquetage énergétique des dispositifs de chauffage décentralisés</w:t>
            </w:r>
          </w:p>
          <w:p>
            <w:pPr>
              <w:pStyle w:val="ListParagraph"/>
              <w:numPr>
                <w:ilvl w:val="0"/>
                <w:numId w:val="6"/>
              </w:numPr>
              <w:spacing w:after="240"/>
              <w:ind w:left="720"/>
              <w:contextualSpacing w:val="0"/>
              <w:jc w:val="both"/>
              <w:rPr>
                <w:rFonts w:ascii="Times New Roman" w:hAnsi="Times New Roman" w:cs="Times New Roman"/>
                <w:noProof/>
                <w:sz w:val="24"/>
                <w:szCs w:val="24"/>
              </w:rPr>
            </w:pPr>
            <w:r>
              <w:rPr>
                <w:rFonts w:ascii="Times New Roman" w:hAnsi="Times New Roman"/>
                <w:noProof/>
                <w:sz w:val="24"/>
              </w:rPr>
              <w:t>Règlement délégué (UE) 2015/1187 de la Commission du 27 avril 2015 complétant la directive 2010/30/UE du Parlement européen et du Conseil en ce qui concerne l'étiquetage énergétique des chaudières à combustible solide et des produits combinés constitués d'une chaudière à combustible solide, de dispositifs de chauffage d'appoint, de régulateurs de température et de dispositifs solaires</w:t>
            </w:r>
          </w:p>
        </w:tc>
      </w:tr>
      <w:tr>
        <w:tc>
          <w:tcPr>
            <w:tcW w:w="9288" w:type="dxa"/>
          </w:tcPr>
          <w:p>
            <w:pPr>
              <w:spacing w:after="240"/>
              <w:jc w:val="both"/>
              <w:rPr>
                <w:rFonts w:ascii="Times New Roman" w:hAnsi="Times New Roman" w:cs="Times New Roman"/>
                <w:b/>
                <w:noProof/>
                <w:sz w:val="24"/>
                <w:szCs w:val="24"/>
              </w:rPr>
            </w:pPr>
            <w:r>
              <w:rPr>
                <w:rFonts w:ascii="Times New Roman" w:hAnsi="Times New Roman"/>
                <w:b/>
                <w:noProof/>
                <w:sz w:val="24"/>
              </w:rPr>
              <w:t>2. Acquis de l’UE à mettre en œuvre par l’Ukraine, au-delà des obligations lui incombant au titre du traité instituant la Communauté de l'énergie</w:t>
            </w:r>
          </w:p>
        </w:tc>
      </w:tr>
      <w:tr>
        <w:tc>
          <w:tcPr>
            <w:tcW w:w="9288" w:type="dxa"/>
          </w:tcPr>
          <w:tbl>
            <w:tblPr>
              <w:tblStyle w:val="TableGrid"/>
              <w:tblW w:w="0" w:type="auto"/>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9062"/>
            </w:tblGrid>
            <w:tr>
              <w:trPr>
                <w:trHeight w:val="457"/>
              </w:trPr>
              <w:tc>
                <w:tcPr>
                  <w:tcW w:w="9288" w:type="dxa"/>
                </w:tcPr>
                <w:p>
                  <w:pPr>
                    <w:jc w:val="both"/>
                    <w:rPr>
                      <w:rFonts w:ascii="Times New Roman" w:hAnsi="Times New Roman" w:cs="Times New Roman"/>
                      <w:b/>
                      <w:noProof/>
                      <w:sz w:val="24"/>
                      <w:szCs w:val="24"/>
                    </w:rPr>
                  </w:pPr>
                  <w:r>
                    <w:rPr>
                      <w:rFonts w:ascii="Times New Roman" w:hAnsi="Times New Roman"/>
                      <w:b/>
                      <w:noProof/>
                      <w:sz w:val="24"/>
                    </w:rPr>
                    <w:t>Gaz</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(UE) n° 312/2014 de la Commission du 26 mars 2014 relatif à l’établissement d’un code de réseau sur l’équilibrage des réseaux de transport de gaz</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pour le 31 décembre 2019 au plus tard.</w:t>
                  </w:r>
                </w:p>
              </w:tc>
            </w:tr>
          </w:tbl>
          <w:p>
            <w:pPr>
              <w:spacing w:after="240"/>
              <w:jc w:val="both"/>
              <w:rPr>
                <w:rFonts w:ascii="Times New Roman" w:hAnsi="Times New Roman" w:cs="Times New Roman"/>
                <w:b/>
                <w:noProof/>
                <w:sz w:val="24"/>
                <w:szCs w:val="24"/>
              </w:rPr>
            </w:pPr>
            <w:r>
              <w:rPr>
                <w:rFonts w:ascii="Times New Roman" w:hAnsi="Times New Roman"/>
                <w:b/>
                <w:noProof/>
                <w:sz w:val="24"/>
              </w:rPr>
              <w:t>Prospection et exploration en ce qui concerne les hydrocarbures</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94/22/CE du Parlement européen et du Conseil du 30 mai 1994 sur les conditions d'octroi et d'exercice des autorisations de prospecter, d'exploiter et d'extraire des hydrocarbures</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trois ans qui suivent l'entrée en vigueur du présent accord, compte tenu des articles (12 et 13) relatifs aux dispositions liées au commerce dans le domaine de l'énergie couvertes par le chapitre 11 (Énergie et commerce) du titre IV (Commerce et questions liées au commerce).</w:t>
            </w:r>
          </w:p>
        </w:tc>
      </w:tr>
      <w:tr>
        <w:tc>
          <w:tcPr>
            <w:tcW w:w="9288" w:type="dxa"/>
          </w:tcPr>
          <w:p>
            <w:pPr>
              <w:spacing w:after="240"/>
              <w:rPr>
                <w:rFonts w:ascii="Times New Roman" w:hAnsi="Times New Roman" w:cs="Times New Roman"/>
                <w:b/>
                <w:noProof/>
                <w:sz w:val="24"/>
                <w:szCs w:val="24"/>
              </w:rPr>
            </w:pPr>
            <w:r>
              <w:rPr>
                <w:rFonts w:ascii="Times New Roman" w:hAnsi="Times New Roman"/>
                <w:b/>
                <w:noProof/>
                <w:sz w:val="24"/>
              </w:rPr>
              <w:t xml:space="preserve">Efficacité énergétique – performance énergétique des bâtiments </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Règlement délégué (UE) n° 244/2012 de la Commission du 16 janvier 2012 complétant la directive 2010/31/UE du Parlement européen et du Conseil sur la performance énergétique des bâtiments en établissant un cadre méthodologique comparatif de calcul des niveaux optimaux en fonction des coûts des exigences minimales en matière de performance énergétique des bâtiments et éléments de bâtiment</w:t>
            </w:r>
          </w:p>
          <w:p>
            <w:pPr>
              <w:spacing w:after="240"/>
              <w:rPr>
                <w:rFonts w:ascii="Times New Roman" w:hAnsi="Times New Roman" w:cs="Times New Roman"/>
                <w:noProof/>
                <w:sz w:val="24"/>
                <w:szCs w:val="24"/>
              </w:rPr>
            </w:pPr>
            <w:r>
              <w:rPr>
                <w:rFonts w:ascii="Times New Roman" w:hAnsi="Times New Roman"/>
                <w:noProof/>
                <w:sz w:val="24"/>
              </w:rPr>
              <w:t>Calendrier: les dispositions du règlement sont appliquées pour le 30 juin 2019 au plus tard.</w:t>
            </w:r>
          </w:p>
        </w:tc>
      </w:tr>
      <w:tr>
        <w:tc>
          <w:tcPr>
            <w:tcW w:w="9288" w:type="dxa"/>
          </w:tcPr>
          <w:p>
            <w:pPr>
              <w:spacing w:after="240"/>
              <w:jc w:val="both"/>
              <w:rPr>
                <w:rFonts w:ascii="Times New Roman" w:hAnsi="Times New Roman" w:cs="Times New Roman"/>
                <w:b/>
                <w:noProof/>
                <w:sz w:val="24"/>
                <w:szCs w:val="24"/>
                <w:highlight w:val="yellow"/>
              </w:rPr>
            </w:pPr>
            <w:r>
              <w:rPr>
                <w:rFonts w:ascii="Times New Roman" w:hAnsi="Times New Roman"/>
                <w:b/>
                <w:noProof/>
                <w:sz w:val="24"/>
              </w:rPr>
              <w:t>Efficacité énergétique – écoconception</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2009/125/CE du Parlement européen et du Conseil du 21 octobre 2009 établissant un cadre pour la fixation d'exigences en matière d'écoconception applicables aux produits liés à l'énergie</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2009/125/CE sont appliquées dans les trois ans qui suivent l'entrée en vigueur du présent accord.</w:t>
            </w:r>
          </w:p>
          <w:p>
            <w:pPr>
              <w:spacing w:after="240"/>
              <w:jc w:val="both"/>
              <w:rPr>
                <w:rFonts w:ascii="Times New Roman" w:hAnsi="Times New Roman" w:cs="Times New Roman"/>
                <w:noProof/>
                <w:sz w:val="24"/>
                <w:szCs w:val="24"/>
              </w:rPr>
            </w:pPr>
            <w:r>
              <w:rPr>
                <w:rFonts w:ascii="Times New Roman" w:hAnsi="Times New Roman"/>
                <w:noProof/>
                <w:sz w:val="24"/>
              </w:rPr>
              <w:t>Règlements d’exécution:</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2016/2282 de la Commission du 30 novembre 2016 modifiant les règlements (CE) n° 1275/2008, (CE) n° 107/2009, (CE) n° 278/2009, (CE) n° 640/2009, (CE) n° 641/2009, (CE) n° 642/2009, (CE) n° 643/2009, (UE) n° 1015/2010, (UE) n° 1016/2010, (UE) n° 327/2011, (UE) n° 206/2012, (UE) n° 547/2012, (UE) n° 932/2012, (UE) n° 617/2013, (UE) n° 666/2013, (UE) n° 813/2013, (UE) n° 814/2013, (UE) n° 66/2014, (UE) n° 548/2014, (UE) n° 1253/2014, (UE) 2015/1095, (UE) 2015/1185, (UE) 2015/1188, (UE) 2015/1189 et (UE) 2016/2281 en ce qui concerne l'utilisation des tolérances dans les procédures de contrôle</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2016/2281 de la Commission du 30 novembre 2016 mettant en œuvre la directive 2009/125/CE du Parlement européen et du Conseil établissant un cadre pour la fixation d'exigences en matière d'écoconception applicables aux produits liés à l'énergie, en ce qui concerne les exigences d'écoconception applicables aux appareils de chauffage à air, aux appareils de refroidissement, aux refroidisseurs industriels haute température et aux ventilo-convecteurs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2015/1189 de la Commission du 28 avril 2015 portant application de la directive 2009/125/CE du Parlement européen et du Conseil en ce qui concerne les exigences d'écoconception applicables aux chaudières à combustible solide</w:t>
            </w:r>
          </w:p>
          <w:p>
            <w:pPr>
              <w:spacing w:after="240"/>
              <w:ind w:left="72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2015/1188 de la Commission du 28 avril 2015 portant application de la directive 2009/125/CE du Parlement européen et du Conseil en ce qui concerne les exigences d'écoconception applicables aux dispositifs de chauffage décentralisés</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 xml:space="preserve">Règlement (UE) 2015/1185 de la Commission du 24 avril 2015 portant application de la directive 2009/125/CE du Parlement européen et du Conseil en ce qui concerne les exigences d'écoconception applicables aux dispositifs de chauffage décentralisés à combustible solide </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2015/1095 de la Commission du 5 mai 2015 portant application de la directive 2009/125/CE du Parlement européen et du Conseil en ce qui concerne les exigences d'écoconception applicables aux armoires frigorifiques professionnelles, aux cellules de refroidissement et de congélation rapides, aux groupes de condensation et aux refroidisseurs industriels</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n° 1253/2014 de la Commission du 7 juillet 2014 portant mise en œuvre de la directive 2009/125/CE du Parlement européen et du Conseil en ce qui concerne les exigences d'écoconception pour les unités de ventilation</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n° 548/2014 de la Commission du 21 mai 2014 relatif à la mise en œuvre de la directive 2009/125/CE du Parlement européen et du Conseil en ce qui concerne les transformateurs de faible, moyenne et grande puissance</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n° 66/2014 de la Commission du 14 janvier 2014 portant application de la directive 2009/125/CE du Parlement européen et du Conseil en ce qui concerne les exigences d’écoconception applicables aux fours, plaques de cuisson et hottes domestiques</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n° 813/2013 de la Commission du 2 août 2013 portant application de la directive 2009/125/CE du Parlement européen et du Conseil en ce qui concerne les exigences d'écoconception applicables aux dispositifs de chauffage des locaux et aux dispositifs de chauffage mixtes</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rPr>
                <w:rFonts w:ascii="Times New Roman" w:hAnsi="Times New Roman" w:cs="Times New Roman"/>
                <w:noProof/>
                <w:sz w:val="24"/>
                <w:szCs w:val="24"/>
              </w:rPr>
            </w:pPr>
            <w:r>
              <w:rPr>
                <w:rFonts w:ascii="Times New Roman" w:hAnsi="Times New Roman"/>
                <w:noProof/>
                <w:sz w:val="24"/>
              </w:rPr>
              <w:t>Règlement (UE) n° 814/2013 de la Commission du 2 août 2013 portant application de la directive 2009/125/CE du Parlement européen et du Conseil en ce qui concerne les exigences d'écoconception applicables aux chauffe-eau et aux ballons d'eau chaude</w:t>
            </w:r>
          </w:p>
          <w:p>
            <w:pPr>
              <w:pStyle w:val="ListParagraph"/>
              <w:spacing w:after="240"/>
              <w:contextualSpacing w:val="0"/>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666/2013 de la Commission du 8 juillet 2013 portant application de la directive 2009/125/CE du Parlement européen et du Conseil en ce qui concerne les exigences d'écoconception applicables aux aspirateurs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617/2013 de la Commission du 26 juin 2013 portant application de la directive 2009/125/CE du Parlement européen et du Conseil en ce qui concerne les exigences d'écoconception applicables aux ordinateurs et aux serveurs informatiques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932/2012 de la Commission du 3 octobre 2012 portant exécution de la directive 2009/125/CE du Parlement européen et du Conseil en ce qui concerne les exigences d'écoconception applicables aux sèche-linge domestiques à tambour</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622/2012 de la Commission du 11 juillet 2012 modifiant le règlement (CE) n° 641/2009 concernant les exigences d'écoconception applicables aux circulateurs sans presse-étoupe indépendants et aux circulateurs sans presse-étoupe intégrés dans des produits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641/2009 de la Commission du 22 juillet 2009 portant application de la directive 2005/32/CE du Parlement européen et du Conseil concernant les exigences d'écoconception applicables aux circulateurs sans presse-étoupe indépendants et aux circulateurs sans presse-étoupe intégrés dans des produits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547/2012 de la Commission du 25 juin 2012 portant application de la directive 2009/125/CE du Parlement européen et du Conseil en ce qui concerne les exigences d'écoconception applicables aux pompes à eau</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206/2012 de la Commission du 6 mars 2012 portant application de la directive 2009/125/CE du Parlement européen et du Conseil en ce qui concerne les exigences d'écoconception applicables aux climatiseurs et aux ventilateurs de confort</w:t>
            </w:r>
          </w:p>
          <w:p>
            <w:pPr>
              <w:spacing w:after="240"/>
              <w:ind w:left="72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327/2011 de la Commission du 30 mars 2011 portant application de la directive 2009/125/CE du Parlement européen et du Conseil établissant un cadre pour la fixation d'exigences en matière d'écoconception applicables aux ventilateurs entraînés par des moteurs d'une puissance électrique à l'entrée comprise entre 125 W et 500 kW</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1016/2010 de la Commission du 10 novembre 2010 portant application de la directive 2009/125/CE du Parlement européen et du Conseil en ce qui concerne les exigences d'écoconception applicables aux lave-vaisselle ménagers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1015/2010 de la Commission du 10 novembre 2010 portant application de la directive 2009/125/CE du Parlement européen et du Conseil en ce qui concerne les exigences d'écoconception applicables aux lave-linge ménagers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2015/1428 de la Commission du 25 août 2015 modifiant le règlement (CE) n° 244/2009 de la Commission en ce qui concerne les exigences relatives à l'écoconception des lampes à usage domestique non dirigées et le règlement (CE) n° 245/2009 de la Commission en ce qui concerne les exigences en matière d'écoconception applicables aux lampes fluorescentes sans ballast intégré, aux lampes à décharge à haute intensité, ainsi qu'aux ballasts et aux luminaires qui peuvent faire fonctionner ces lampes, et abrogeant la directive 2000/55/CE du Parlement européen et du Conseil et le règlement (UE) n° 1194/2012 de la Commission en ce qui concerne les exigences relatives à l'écoconception des lampes dirigées, des lampes à diodes électroluminescentes et des équipements correspondants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245/2009 de la Commission du 18 mars 2009 mettant en œuvre la directive 2005/32/CE du Parlement européen et du Conseil en ce qui concerne les exigences en matière d'écoconception applicables aux lampes fluorescentes sans ballast intégré, aux lampes à décharge à haute intensité, ainsi qu'aux ballasts et aux luminaires qui peuvent faire fonctionner ces lampes, et abrogeant la directive 2000/55/CE du Parlement européen et du Conseil,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1194/2012 de la Commission du 12 décembre 2012 portant application de la directive 2009/125/CE du Parlement européen et du Conseil en ce qui concerne les exigences relatives à l'écoconception des lampes dirigées, des lampes à diodes électroluminescentes et des équipements correspondants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244/2009 de la Commission du 18 mars 2009 mettant en œuvre la directive 2005/32/CE du Parlement européen et du Conseil en ce qui concerne les exigences relatives à l'écoconception des lampes à usage domestique non dirigées,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859/2009 de la Commission du 18 septembre 2009 modifiant le règlement (CE) n° 244/2009 en ce qui concerne les exigences d'écoconception applicables en matière de rayonnement ultraviolet des lampes à usage domestique non dirigées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347/2010 de la Commission du 21 avril 2010 modifiant le règlement (CE) n° 245/2009 en ce qui concerne les exigences en matière d'écoconception applicables aux lampes fluorescentes sans ballast intégré, aux lampes à décharge à haute intensité, ainsi qu'aux ballasts et aux luminaires qui peuvent faire fonctionner ces lampes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643/2009 de la Commission du 22 juillet 2009 portant modalités d'application de la directive 2005/32/CE du Parlement européen et du Conseil en ce qui concerne les exigences d'écoconception applicables aux appareils de réfrigération ménagers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642/2009 de la Commission du 22 juillet 2009 mettant en œuvre la directive 2005/32/CE du Parlement européen et du Conseil en ce qui concerne les exigences relatives à l'écoconception des téléviseurs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(UE) n° 4/2014 de la Commission du 6 janvier 2014 modifiant le règlement (CE) n° 640/2009 portant application de la directive 2005/32/CE du Parlement européen et du Conseil concernant les exigences relatives à l'écoconception des moteurs électriques</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640/2009 de la Commission du 22 juillet 2009 portant application de la directive 2005/32/CE du Parlement européen et du Conseil concernant les exigences relatives à l'écoconception des moteurs électriques + rectificatif publié au JO L 46 du 19.2.2011</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278/2009 de la Commission du 6 avril 2009 portant application de la directive 2005/32/CE du Parlement européen et du Conseil en ce qui concerne les exigences d'écoconception relatives à la consommation d'électricité hors charge et au rendement moyen en mode actif des sources d'alimentation externes,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107/2009 de la Commission du 4 février 2009 portant application de la directive 2005/32/CE du Parlement européen et du Conseil concernant les exigences relatives à l'écoconception des décodeurs numériques simples,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1275/2008 de la Commission du 17 décembre 2008 portant application de la directive 2005/32/CE du Parlement européen et du Conseil en ce qui concerne les exigences d'écoconception relatives à la consommation d'électricité en mode veille et en mode arrêt des équipements ménagers et de bureau électriques et électroniques,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du règlement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Directive 92/42/CEE du Conseil du 21 mai 1992 concernant les exigences de rendement pour les nouvelles chaudières à eau chaude alimentées en combustibles liquides ou gazeux, telle que modifiée</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trois ans qui suivent l'entrée en vigueur du présent accord.</w:t>
            </w:r>
          </w:p>
          <w:p>
            <w:pPr>
              <w:pStyle w:val="ListParagraph"/>
              <w:numPr>
                <w:ilvl w:val="0"/>
                <w:numId w:val="10"/>
              </w:numPr>
              <w:spacing w:after="240"/>
              <w:contextualSpacing w:val="0"/>
              <w:jc w:val="both"/>
              <w:rPr>
                <w:rFonts w:ascii="Times New Roman" w:hAnsi="Times New Roman" w:cs="Times New Roman"/>
                <w:noProof/>
                <w:sz w:val="24"/>
                <w:szCs w:val="24"/>
              </w:rPr>
            </w:pPr>
            <w:r>
              <w:rPr>
                <w:rFonts w:ascii="Times New Roman" w:hAnsi="Times New Roman"/>
                <w:noProof/>
                <w:sz w:val="24"/>
              </w:rPr>
              <w:t>Règlement (CE) n° 643/2009 de la Commission du 22 juillet 2009 portant modalités d'application de la directive 2005/32/CE du Parlement européen et du Conseil en ce qui concerne les exigences d'écoconception applicables aux appareils de réfrigération ménagers, tel que modifié</w:t>
            </w:r>
          </w:p>
          <w:p>
            <w:pPr>
              <w:pStyle w:val="ListParagraph"/>
              <w:spacing w:after="240"/>
              <w:contextualSpacing w:val="0"/>
              <w:jc w:val="both"/>
              <w:rPr>
                <w:rFonts w:ascii="Times New Roman" w:hAnsi="Times New Roman" w:cs="Times New Roman"/>
                <w:noProof/>
                <w:sz w:val="24"/>
                <w:szCs w:val="24"/>
              </w:rPr>
            </w:pPr>
            <w:r>
              <w:rPr>
                <w:rFonts w:ascii="Times New Roman" w:hAnsi="Times New Roman"/>
                <w:noProof/>
                <w:sz w:val="24"/>
              </w:rPr>
              <w:t>Calendrier: le calendrier de mise en œuvre des dispositions du règlement est arrêté d’ici au 31 décembre 2021.</w:t>
            </w:r>
          </w:p>
        </w:tc>
      </w:tr>
      <w:tr>
        <w:tc>
          <w:tcPr>
            <w:tcW w:w="9288" w:type="dxa"/>
          </w:tcPr>
          <w:p>
            <w:pPr>
              <w:spacing w:after="240"/>
              <w:rPr>
                <w:rFonts w:ascii="Times New Roman" w:hAnsi="Times New Roman" w:cs="Times New Roman"/>
                <w:b/>
                <w:noProof/>
                <w:sz w:val="24"/>
                <w:szCs w:val="24"/>
              </w:rPr>
            </w:pPr>
            <w:r>
              <w:rPr>
                <w:rFonts w:ascii="Times New Roman" w:hAnsi="Times New Roman"/>
                <w:b/>
                <w:noProof/>
                <w:sz w:val="24"/>
              </w:rPr>
              <w:t>Nucléaire</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 xml:space="preserve">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 </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quatre ans qui suivent l'entrée en vigueur du présent accord.</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2006/117/Euratom du Conseil du 20 novembre 2006 relative à la surveillance et au contrôle des transferts de déchets radioactifs et de combustible nucléaire usé</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deux ans qui suivent l'entrée en vigueur du présent accord.</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2009/71/Euratom du Conseil du 25 juin 2009 établissant un cadre communautaire pour la sûreté nucléaire des installations nucléaires</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trois ans qui suivent l'entrée en vigueur du présent accord.</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2014/87/Euratom du Conseil du 8 juillet 2014 modifiant la directive 2009/71/Euratom établissant un cadre communautaire pour la sûreté nucléaire des installations nucléaires</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trois ans qui suivent l'entrée en vigueur du présent accord.</w:t>
            </w:r>
          </w:p>
        </w:tc>
      </w:tr>
      <w:tr>
        <w:tc>
          <w:tcPr>
            <w:tcW w:w="9288" w:type="dxa"/>
          </w:tcPr>
          <w:p>
            <w:pPr>
              <w:spacing w:after="240"/>
              <w:jc w:val="both"/>
              <w:rPr>
                <w:rFonts w:ascii="Times New Roman" w:hAnsi="Times New Roman" w:cs="Times New Roman"/>
                <w:noProof/>
                <w:sz w:val="24"/>
                <w:szCs w:val="24"/>
              </w:rPr>
            </w:pPr>
            <w:r>
              <w:rPr>
                <w:rFonts w:ascii="Times New Roman" w:hAnsi="Times New Roman"/>
                <w:noProof/>
                <w:sz w:val="24"/>
              </w:rPr>
              <w:t>Directive 2011/70/Euratom du Conseil du 19 juillet 2011 établissant un cadre communautaire pour la gestion responsable et sûre du combustible usé et des déchets radioactifs</w:t>
            </w:r>
          </w:p>
          <w:p>
            <w:pPr>
              <w:spacing w:after="240"/>
              <w:jc w:val="both"/>
              <w:rPr>
                <w:rFonts w:ascii="Times New Roman" w:hAnsi="Times New Roman" w:cs="Times New Roman"/>
                <w:noProof/>
                <w:sz w:val="24"/>
                <w:szCs w:val="24"/>
              </w:rPr>
            </w:pPr>
            <w:r>
              <w:rPr>
                <w:rFonts w:ascii="Times New Roman" w:hAnsi="Times New Roman"/>
                <w:noProof/>
                <w:sz w:val="24"/>
              </w:rPr>
              <w:t>Calendrier: les dispositions de la directive sont appliquées dans les trois ans qui suivent l'entrée en vigueur du présent accord.»</w:t>
            </w:r>
          </w:p>
        </w:tc>
      </w:tr>
    </w:tbl>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49594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526"/>
    <w:multiLevelType w:val="hybridMultilevel"/>
    <w:tmpl w:val="4E989DE2"/>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B6EBA"/>
    <w:multiLevelType w:val="hybridMultilevel"/>
    <w:tmpl w:val="1C5E9744"/>
    <w:lvl w:ilvl="0" w:tplc="AECEC47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30995"/>
    <w:multiLevelType w:val="hybridMultilevel"/>
    <w:tmpl w:val="ACB2BA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FC4054"/>
    <w:multiLevelType w:val="hybridMultilevel"/>
    <w:tmpl w:val="CF3E14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D874F6"/>
    <w:multiLevelType w:val="hybridMultilevel"/>
    <w:tmpl w:val="97D43606"/>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15518B"/>
    <w:multiLevelType w:val="hybridMultilevel"/>
    <w:tmpl w:val="8708BB56"/>
    <w:lvl w:ilvl="0" w:tplc="FE4EBD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EB3788"/>
    <w:multiLevelType w:val="hybridMultilevel"/>
    <w:tmpl w:val="E57E918E"/>
    <w:lvl w:ilvl="0" w:tplc="CC2EB0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97135A"/>
    <w:multiLevelType w:val="hybridMultilevel"/>
    <w:tmpl w:val="1F7C5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DE09F3"/>
    <w:multiLevelType w:val="hybridMultilevel"/>
    <w:tmpl w:val="FC6E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B645C3"/>
    <w:multiLevelType w:val="hybridMultilevel"/>
    <w:tmpl w:val="27924E5E"/>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DE24E9"/>
    <w:multiLevelType w:val="hybridMultilevel"/>
    <w:tmpl w:val="8AC66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4C141C0"/>
    <w:multiLevelType w:val="hybridMultilevel"/>
    <w:tmpl w:val="D4E4C61E"/>
    <w:lvl w:ilvl="0" w:tplc="11E6ECC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616BA5"/>
    <w:multiLevelType w:val="hybridMultilevel"/>
    <w:tmpl w:val="E82C5C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8282056"/>
    <w:multiLevelType w:val="hybridMultilevel"/>
    <w:tmpl w:val="6E88B1CE"/>
    <w:lvl w:ilvl="0" w:tplc="E8DE39C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EA12D3"/>
    <w:multiLevelType w:val="hybridMultilevel"/>
    <w:tmpl w:val="9E385D3C"/>
    <w:lvl w:ilvl="0" w:tplc="E8DE39C8">
      <w:start w:val="1"/>
      <w:numFmt w:val="bullet"/>
      <w:lvlText w:val=""/>
      <w:lvlJc w:val="left"/>
      <w:pPr>
        <w:ind w:left="360" w:hanging="360"/>
      </w:pPr>
      <w:rPr>
        <w:rFonts w:ascii="Symbol" w:hAnsi="Symbol" w:hint="default"/>
      </w:rPr>
    </w:lvl>
    <w:lvl w:ilvl="1" w:tplc="E8DE39C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2D7D2D"/>
    <w:multiLevelType w:val="hybridMultilevel"/>
    <w:tmpl w:val="213A0694"/>
    <w:lvl w:ilvl="0" w:tplc="E8DE39C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E2127D"/>
    <w:multiLevelType w:val="hybridMultilevel"/>
    <w:tmpl w:val="E092EA88"/>
    <w:lvl w:ilvl="0" w:tplc="77A807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77525CB"/>
    <w:multiLevelType w:val="hybridMultilevel"/>
    <w:tmpl w:val="7CA43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14"/>
  </w:num>
  <w:num w:numId="5">
    <w:abstractNumId w:val="12"/>
  </w:num>
  <w:num w:numId="6">
    <w:abstractNumId w:val="13"/>
  </w:num>
  <w:num w:numId="7">
    <w:abstractNumId w:val="5"/>
  </w:num>
  <w:num w:numId="8">
    <w:abstractNumId w:val="4"/>
  </w:num>
  <w:num w:numId="9">
    <w:abstractNumId w:val="0"/>
  </w:num>
  <w:num w:numId="10">
    <w:abstractNumId w:val="15"/>
  </w:num>
  <w:num w:numId="11">
    <w:abstractNumId w:val="3"/>
  </w:num>
  <w:num w:numId="12">
    <w:abstractNumId w:val="17"/>
  </w:num>
  <w:num w:numId="13">
    <w:abstractNumId w:val="7"/>
  </w:num>
  <w:num w:numId="14">
    <w:abstractNumId w:val="2"/>
  </w:num>
  <w:num w:numId="15">
    <w:abstractNumId w:val="8"/>
  </w:num>
  <w:num w:numId="16">
    <w:abstractNumId w:val="1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à la"/>
    <w:docVar w:name="LW_ANNEX_NBR_FIRST" w:val="1"/>
    <w:docVar w:name="LW_ANNEX_NBR_LAST" w:val="1"/>
    <w:docVar w:name="LW_ANNEX_UNIQUE" w:val="1"/>
    <w:docVar w:name="LW_CORRIGENDUM" w:val="&lt;UNUSED&gt;"/>
    <w:docVar w:name="LW_COVERPAGE_EXISTS" w:val="True"/>
    <w:docVar w:name="LW_COVERPAGE_GUID" w:val="BB8B748B-81A6-4DC0-8A53-74B7F0705AFD"/>
    <w:docVar w:name="LW_COVERPAGE_TYPE" w:val="1"/>
    <w:docVar w:name="LW_CROSSREFERENCE" w:val="&lt;UNUSED&gt;"/>
    <w:docVar w:name="LW_DocType" w:val="NORMAL"/>
    <w:docVar w:name="LW_EMISSION" w:val="11.2.2019"/>
    <w:docVar w:name="LW_EMISSION_ISODATE" w:val="2019-02-1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prendre au nom de l'Union européenne au sein du conseil d'association UE-Ukraine concernant une modification de l'annexe XXVII de l'accord d'association entre l'Union européenne et la Communauté européenne de l'énergie atomatique et leurs États membres, d'une part, et l'Ukraine, d'autre part"/>
    <w:docVar w:name="LW_PART_NBR" w:val="1"/>
    <w:docVar w:name="LW_PART_NBR_TOTAL" w:val="1"/>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s1">
    <w:name w:val="s1"/>
    <w:basedOn w:val="DefaultParagraphFont"/>
  </w:style>
  <w:style w:type="paragraph" w:customStyle="1" w:styleId="CM138">
    <w:name w:val="CM1+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38">
    <w:name w:val="CM3+38"/>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438">
    <w:name w:val="CM4+38"/>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Pr>
      <w:rFonts w:ascii="EUAlbertina" w:hAnsi="EUAlbertina" w:cstheme="minorBidi"/>
      <w:color w:val="auto"/>
    </w:rPr>
  </w:style>
  <w:style w:type="paragraph" w:customStyle="1" w:styleId="CM33">
    <w:name w:val="CM3+3"/>
    <w:basedOn w:val="Default"/>
    <w:next w:val="Default"/>
    <w:uiPriority w:val="99"/>
    <w:rPr>
      <w:rFonts w:ascii="EUAlbertina" w:hAnsi="EUAlbertina" w:cstheme="minorBidi"/>
      <w:color w:val="auto"/>
    </w:rPr>
  </w:style>
  <w:style w:type="paragraph" w:customStyle="1" w:styleId="CM43">
    <w:name w:val="CM4+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style>
  <w:style w:type="paragraph" w:customStyle="1" w:styleId="CM12">
    <w:name w:val="CM1+2"/>
    <w:basedOn w:val="Default"/>
    <w:next w:val="Default"/>
    <w:uiPriority w:val="99"/>
    <w:rPr>
      <w:rFonts w:ascii="EUAlbertina" w:hAnsi="EUAlbertina" w:cstheme="minorBidi"/>
      <w:color w:val="auto"/>
    </w:rPr>
  </w:style>
  <w:style w:type="paragraph" w:customStyle="1" w:styleId="CM32">
    <w:name w:val="CM3+2"/>
    <w:basedOn w:val="Default"/>
    <w:next w:val="Default"/>
    <w:uiPriority w:val="99"/>
    <w:rPr>
      <w:rFonts w:ascii="EUAlbertina" w:hAnsi="EUAlbertina" w:cstheme="minorBidi"/>
      <w:color w:val="auto"/>
    </w:rPr>
  </w:style>
  <w:style w:type="paragraph" w:customStyle="1" w:styleId="CM42">
    <w:name w:val="CM4+2"/>
    <w:basedOn w:val="Default"/>
    <w:next w:val="Default"/>
    <w:uiPriority w:val="99"/>
    <w:rPr>
      <w:rFonts w:ascii="EUAlbertina" w:hAnsi="EUAlbertina"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F0A2-8E14-46AB-8733-057A4202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6104</Words>
  <Characters>34122</Characters>
  <Application>Microsoft Office Word</Application>
  <DocSecurity>0</DocSecurity>
  <Lines>609</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2019-02-11T11:47:00Z</dcterms:created>
  <dcterms:modified xsi:type="dcterms:W3CDTF">2019-02-20T06:34:00Z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