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ECC4BCE-D317-41E6-880E-A56CB846053A" style="width:450.8pt;height:351.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Justification et objectifs de la proposition</w:t>
      </w:r>
    </w:p>
    <w:p>
      <w:pPr>
        <w:pBdr>
          <w:top w:val="nil"/>
          <w:left w:val="nil"/>
          <w:bottom w:val="nil"/>
          <w:right w:val="nil"/>
          <w:between w:val="nil"/>
          <w:bar w:val="nil"/>
        </w:pBdr>
        <w:spacing w:before="0" w:after="240"/>
        <w:rPr>
          <w:noProof/>
        </w:rPr>
      </w:pPr>
      <w:r>
        <w:rPr>
          <w:noProof/>
        </w:rPr>
        <w:t>À la suite des arrêts de la Cour de justice dans les affaires dites de «ciel ouvert», le Conseil a, le 5 juin 2003, autorisé la Commission à ouvrir des négociations avec des pays tiers en vue de remplacer certaines dispositions des accords bilatéraux existants relatifs aux services aériens par un accord au niveau de l’Union (l'«habilitation horizontale»). Ces accords ont pour objet de permettre à tous les transporteurs aériens de l'UE d'accéder sans discrimination aux liaisons aériennes entre l'Union européenne et les pays tiers et de mettre ainsi les accords bilatéraux relatifs aux services aériens conclus entre des États membres et des pays tiers en conformité avec le droit de l'Union.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dispositions existantes dans le domaine d’action</w:t>
      </w:r>
    </w:p>
    <w:p>
      <w:pPr>
        <w:pBdr>
          <w:top w:val="nil"/>
          <w:left w:val="nil"/>
          <w:bottom w:val="nil"/>
          <w:right w:val="nil"/>
          <w:between w:val="nil"/>
          <w:bar w:val="nil"/>
        </w:pBdr>
        <w:spacing w:before="0" w:after="240"/>
        <w:rPr>
          <w:noProof/>
        </w:rPr>
      </w:pPr>
      <w:r>
        <w:rPr>
          <w:noProof/>
        </w:rPr>
        <w:t>Les dispositions de l’accord prévalent sur les dispositions actuelles des 22 accords bilatéraux relatifs aux services aériens conclus entre des États membres et la République de Corée, ou les complètent.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Cohérence avec les autres politiques de l’Union</w:t>
      </w:r>
    </w:p>
    <w:p>
      <w:pPr>
        <w:pBdr>
          <w:top w:val="nil"/>
          <w:left w:val="nil"/>
          <w:bottom w:val="nil"/>
          <w:right w:val="nil"/>
          <w:between w:val="nil"/>
          <w:bar w:val="nil"/>
        </w:pBdr>
        <w:spacing w:before="0" w:after="240"/>
        <w:rPr>
          <w:noProof/>
        </w:rPr>
      </w:pPr>
      <w:r>
        <w:rPr>
          <w:noProof/>
        </w:rPr>
        <w:t>L'accord répondra à un objectif essentiel de la politique extérieure de l'Union dans le domaine du transport aérien en mettant les accords bilatéraux existants relatifs aux services aériens en conformité avec le droit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Base juridique</w:t>
      </w:r>
    </w:p>
    <w:p>
      <w:pPr>
        <w:pBdr>
          <w:top w:val="nil"/>
          <w:left w:val="nil"/>
          <w:bottom w:val="nil"/>
          <w:right w:val="nil"/>
          <w:between w:val="nil"/>
          <w:bar w:val="nil"/>
        </w:pBdr>
        <w:spacing w:before="0" w:after="240"/>
        <w:rPr>
          <w:noProof/>
        </w:rPr>
      </w:pPr>
      <w:r>
        <w:rPr>
          <w:noProof/>
        </w:rPr>
        <w:t>Article 100, paragraphe 2, et article 218, paragraphe 5, du traité sur le fonctionnement de l'Union européenne.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La proposition repose entièrement sur l'«habilitation horizontale» donnée par le Conseil compte tenu des aspects couverts par le droit de l'Union et les accords bilatéraux relatifs aux services aériens.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Proportionnalité</w:t>
      </w:r>
    </w:p>
    <w:p>
      <w:pPr>
        <w:pBdr>
          <w:top w:val="nil"/>
          <w:left w:val="nil"/>
          <w:bottom w:val="nil"/>
          <w:right w:val="nil"/>
          <w:between w:val="nil"/>
          <w:bar w:val="nil"/>
        </w:pBdr>
        <w:spacing w:before="0" w:after="240"/>
        <w:rPr>
          <w:noProof/>
        </w:rPr>
      </w:pPr>
      <w:r>
        <w:rPr>
          <w:noProof/>
        </w:rPr>
        <w:t>L'accord modifiera ou complétera les dispositions des accords bilatéraux relatifs aux services aériens uniquement dans la mesure requise pour garantir la conformité au droit de l'Union.</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Choix de l’instrument</w:t>
      </w:r>
    </w:p>
    <w:p>
      <w:pPr>
        <w:pBdr>
          <w:top w:val="nil"/>
          <w:left w:val="nil"/>
          <w:bottom w:val="nil"/>
          <w:right w:val="nil"/>
          <w:between w:val="nil"/>
          <w:bar w:val="nil"/>
        </w:pBdr>
        <w:spacing w:before="0" w:after="240"/>
        <w:rPr>
          <w:noProof/>
        </w:rPr>
      </w:pPr>
      <w:r>
        <w:rPr>
          <w:noProof/>
        </w:rPr>
        <w:t>L’accord conclu entre l'Union et la République de Corée est l’instrument le plus efficace pour mettre tous les accords bilatéraux existants relatifs aux services aériens conclus entre des États membres et la République de Corée en conformité avec le droit de l'Union.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Consultation des parties intéressées</w:t>
      </w:r>
    </w:p>
    <w:p>
      <w:pPr>
        <w:pBdr>
          <w:top w:val="nil"/>
          <w:left w:val="nil"/>
          <w:bottom w:val="nil"/>
          <w:right w:val="nil"/>
          <w:between w:val="nil"/>
          <w:bar w:val="nil"/>
        </w:pBdr>
        <w:spacing w:before="0" w:after="240"/>
        <w:rPr>
          <w:noProof/>
        </w:rPr>
      </w:pPr>
      <w:r>
        <w:rPr>
          <w:noProof/>
        </w:rPr>
        <w:t>Conformément à l’article 218, paragraphe 4, du TFUE, la Commission a mené les négociations en consultation avec un comité spécial. Les acteurs du secteur ont également été consultés lors des négociations. 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Réglementation affûtée et simplification</w:t>
      </w:r>
    </w:p>
    <w:p>
      <w:pPr>
        <w:pBdr>
          <w:top w:val="nil"/>
          <w:left w:val="nil"/>
          <w:bottom w:val="nil"/>
          <w:right w:val="nil"/>
          <w:between w:val="nil"/>
          <w:bar w:val="nil"/>
        </w:pBdr>
        <w:spacing w:before="0" w:after="240"/>
        <w:rPr>
          <w:noProof/>
        </w:rPr>
      </w:pPr>
      <w:r>
        <w:rPr>
          <w:noProof/>
        </w:rPr>
        <w:t>La proposition constitue une simplification de la législation. Les dispositions pertinentes des accords bilatéraux relatifs aux services aériens conclus entre des États membres et la République de Corée seront remplacées ou complétées par les dispositions d’un accord unique.</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Plans de mise en œuvre et modalités de suivi, d'évaluation et d'information</w:t>
      </w:r>
    </w:p>
    <w:p>
      <w:pPr>
        <w:rPr>
          <w:noProof/>
        </w:rPr>
      </w:pPr>
      <w:r>
        <w:rPr>
          <w:noProof/>
        </w:rPr>
        <w:t>Les parties à l’accord se notifient mutuellement par écrit et par la voie diplomatique l’accomplissement des procédures internes respectives nécessaires à l’entrée en vigueur de l’accord. L’accord entre en vigueur à la date de la dernière notification.</w:t>
      </w:r>
    </w:p>
    <w:p>
      <w:pPr>
        <w:pBdr>
          <w:top w:val="nil"/>
          <w:left w:val="nil"/>
          <w:bottom w:val="nil"/>
          <w:right w:val="nil"/>
          <w:between w:val="nil"/>
          <w:bar w:val="nil"/>
        </w:pBdr>
        <w:spacing w:before="0" w:after="240"/>
        <w:rPr>
          <w:noProof/>
        </w:rPr>
      </w:pPr>
    </w:p>
    <w:p>
      <w:pPr>
        <w:pStyle w:val="ManualHeading2"/>
        <w:rPr>
          <w:rFonts w:eastAsia="Arial Unicode MS"/>
          <w:noProof/>
          <w:color w:val="000000"/>
          <w:u w:color="000000"/>
          <w:bdr w:val="nil"/>
        </w:rPr>
      </w:pPr>
      <w:r>
        <w:rPr>
          <w:noProof/>
        </w:rPr>
        <w:tab/>
      </w:r>
      <w:r>
        <w:rPr>
          <w:noProof/>
          <w:color w:val="000000"/>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ab/>
      </w:r>
      <w:r>
        <w:rPr>
          <w:noProof/>
          <w:color w:val="000000"/>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Les relations internationales dans le domaine du transport aérien entre les États membres et les pays tiers étaient régies jusqu'à présent par des accords bilatéraux relatifs aux services aériens conclus entre les pays concernés et par leurs annexes ou par d'autres arrangements bilatéraux et multilatéraux connexes.</w:t>
      </w:r>
    </w:p>
    <w:p>
      <w:pPr>
        <w:pBdr>
          <w:top w:val="nil"/>
          <w:left w:val="nil"/>
          <w:bottom w:val="nil"/>
          <w:right w:val="nil"/>
          <w:between w:val="nil"/>
          <w:bar w:val="nil"/>
        </w:pBdr>
        <w:spacing w:before="0" w:after="240"/>
        <w:rPr>
          <w:noProof/>
        </w:rPr>
      </w:pPr>
      <w:r>
        <w:rPr>
          <w:noProof/>
        </w:rPr>
        <w:t>Toutefois, les clauses de désignation traditionnelles figurant dans les accords bilatéraux relatifs aux services aériens conclus par des États membres sont contraires au droit de l'Union. Elles permettent à un pays tiers de rejeter, de retirer ou de suspendre les permis ou autorisations d'un transporteur aérien qui a été désigné par un État membre, mais dont la propriété et le contrôle effectif n'appartiennent pas pour l'essentiel à cet État membre ou à ses ressortissants. Il a été constaté que cela constituait une discrimination envers les transporteurs aériens de l'Union européenne qui sont établis sur le territoire d’un État membre, mais qui sont détenus et contrôlés par des ressortissants d’autres États membres. Il s'agit d'une violation de l'article 49 du traité sur le fonctionnement de l'Union européenne, qui garantit aux ressortissants des États membres ayant exercé leur liberté d'établissement le même traitement dans l'État membre d'accueil que celui accordé aux ressortissants de cet État membre.</w:t>
      </w:r>
    </w:p>
    <w:p>
      <w:pPr>
        <w:pBdr>
          <w:top w:val="nil"/>
          <w:left w:val="nil"/>
          <w:bottom w:val="nil"/>
          <w:right w:val="nil"/>
          <w:between w:val="nil"/>
          <w:bar w:val="nil"/>
        </w:pBdr>
        <w:spacing w:before="0" w:after="240"/>
        <w:rPr>
          <w:noProof/>
        </w:rPr>
      </w:pPr>
      <w:r>
        <w:rPr>
          <w:noProof/>
        </w:rPr>
        <w:t>En ce qui concerne d'autres points, comme les accords commerciaux contraignants entre compagnies aériennes, la conformité au droit de l'Union devrait être garantie en modifiant ou en complétant les dispositions figurant dans les accords bilatéraux relatifs aux services aériens conclus entre des États membres et des pays tiers.</w:t>
      </w:r>
    </w:p>
    <w:p>
      <w:pPr>
        <w:pBdr>
          <w:top w:val="nil"/>
          <w:left w:val="nil"/>
          <w:bottom w:val="nil"/>
          <w:right w:val="nil"/>
          <w:between w:val="nil"/>
          <w:bar w:val="nil"/>
        </w:pBdr>
        <w:spacing w:before="0" w:after="240"/>
        <w:rPr>
          <w:noProof/>
        </w:rPr>
      </w:pPr>
      <w:r>
        <w:rPr>
          <w:noProof/>
        </w:rPr>
        <w:t>Conformément aux mécanismes et lignes directrices prévus dans l'annexe de l'«habilitation horizontale», la Commission a négocié avec la République de Corée un accord qui remplace certaines dispositions des accords bilatéraux existants relatifs aux services aériens conclus entre des États membres et la République de Corée. L'article 2 de l'accord remplace les clauses de désignation traditionnelles par une clause de désignation de l'Union qui permet à tous les transporteurs de l'Union européenne de bénéficier du droit d'établissement. L'article 4 préserve le droit des États membres en vertu du droit de l’Union d’imposer, sur une base non discriminatoire, des prélèvements, impôts, droits, taxes ou redevances sur le carburant fourni sur son territoire en vue d’une utilisation par un aéronef d’un transporteur aérien désigné de la République de Corée qui exploite une liaison entre un point situé sur le territoire de cet État membre et un autre point situé sur le territoire de cet État membre ou sur le territoire d’un autre État membre. L'article 5 résout les conflits potentiels avec les règles de l'Union en matière de concurrence.</w:t>
      </w:r>
    </w:p>
    <w:p>
      <w:pPr>
        <w:pBdr>
          <w:top w:val="nil"/>
          <w:left w:val="nil"/>
          <w:bottom w:val="nil"/>
          <w:right w:val="nil"/>
          <w:between w:val="nil"/>
          <w:bar w:val="nil"/>
        </w:pBdr>
        <w:spacing w:before="0" w:after="240"/>
        <w:rPr>
          <w:noProof/>
        </w:rPr>
      </w:pPr>
      <w:r>
        <w:rPr>
          <w:noProof/>
        </w:rPr>
        <w:t>Les négociations sur l’accord ayant été conclues avec succès, il convient de le signer au nom de l’Union européenne. La présente proposition contient une décision à cet effet.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2019/0045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entre l'Union européenne et la République de Corée sur certains aspects des services aériens</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5 juin 2003, le Conseil a autorisé la Commission à ouvrir des négociations avec des pays tiers en vue de remplacer certaines dispositions des accords bilatéraux existants par un accord à l'échelle de l'Union.</w:t>
      </w:r>
    </w:p>
    <w:p>
      <w:pPr>
        <w:pStyle w:val="ManualConsidrant"/>
        <w:rPr>
          <w:noProof/>
        </w:rPr>
      </w:pPr>
      <w:r>
        <w:t>(2)</w:t>
      </w:r>
      <w:r>
        <w:tab/>
      </w:r>
      <w:r>
        <w:rPr>
          <w:noProof/>
        </w:rPr>
        <w:t>La Commission a négocié, au nom de l'Union, un accord avec la République de Corée sur certains aspects des services aériens (ci-après l'«accord»). Les négociations ont été menées à bonne fin et l'accord a été paraphé le 12 novembre 2008.</w:t>
      </w:r>
    </w:p>
    <w:p>
      <w:pPr>
        <w:pStyle w:val="ManualConsidrant"/>
        <w:rPr>
          <w:noProof/>
        </w:rPr>
      </w:pPr>
      <w:r>
        <w:t>(3)</w:t>
      </w:r>
      <w:r>
        <w:tab/>
      </w:r>
      <w:r>
        <w:rPr>
          <w:noProof/>
        </w:rPr>
        <w:t>Le Conseil a par la suite adopté, le 31 mars 2009, une décision relative à la signature de l’accord, mais en raison de la réticence de la République de Corée, l’accord n’a pas encore été signé.</w:t>
      </w:r>
    </w:p>
    <w:p>
      <w:pPr>
        <w:pStyle w:val="ManualConsidrant"/>
        <w:rPr>
          <w:noProof/>
        </w:rPr>
      </w:pPr>
      <w:r>
        <w:t>(4)</w:t>
      </w:r>
      <w:r>
        <w:tab/>
      </w:r>
      <w:r>
        <w:rPr>
          <w:noProof/>
        </w:rPr>
        <w:t>Toutefois, en 2018, la République de Corée a exprimé un nouvel intérêt pour la signature et la conclusion de l’accord. Étant donné qu’un certain nombre de nouveaux accords bilatéraux relatifs aux services aériens conclus entre la République de Corée et des États membres ont été paraphés ou signés depuis la décision du Conseil de 2009, l’accord devait être actualisé et sa signature nécessite donc une nouvelle décision du Conseil.</w:t>
      </w:r>
    </w:p>
    <w:p>
      <w:pPr>
        <w:pStyle w:val="ManualConsidrant"/>
        <w:rPr>
          <w:noProof/>
        </w:rPr>
      </w:pPr>
      <w:r>
        <w:t>(5)</w:t>
      </w:r>
      <w:r>
        <w:tab/>
      </w:r>
      <w:r>
        <w:rPr>
          <w:noProof/>
        </w:rPr>
        <w:t>Cet accord a pour objet de mettre les accords bilatéraux relatifs aux services aériens existant entre 22 États membres et la République de Corée en conformité avec le droit de l'Union.</w:t>
      </w:r>
    </w:p>
    <w:p>
      <w:pPr>
        <w:pStyle w:val="ManualConsidrant"/>
        <w:rPr>
          <w:noProof/>
        </w:rPr>
      </w:pPr>
      <w:r>
        <w:t>(6)</w:t>
      </w:r>
      <w:r>
        <w:tab/>
      </w:r>
      <w:r>
        <w:rPr>
          <w:noProof/>
        </w:rPr>
        <w:t>Il convient dès lors que l’accord soit signé au nom de l’Union, sous réserve de sa conclusion à une date ultérieure,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de l'accord entre l'Union européenne et la République de Corée concernant certains aspects des services aériens (ci-après l'«accord») est approuvée au nom de l'Union, sous réserve de la conclusion dudit accord</w:t>
      </w:r>
      <w:r>
        <w:rPr>
          <w:rStyle w:val="FootnoteReference"/>
          <w:noProof/>
        </w:rPr>
        <w:footnoteReference w:id="1"/>
      </w:r>
      <w:r>
        <w:rPr>
          <w:noProof/>
        </w:rPr>
        <w:t>.</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22"/>
          <w:lang w:val="fr-BE"/>
        </w:rPr>
      </w:pPr>
      <w:r>
        <w:rPr>
          <w:rStyle w:val="FootnoteReference"/>
        </w:rPr>
        <w:footnoteRef/>
      </w:r>
      <w:r>
        <w:rPr>
          <w:lang w:val="fr-BE"/>
        </w:rPr>
        <w:tab/>
      </w:r>
      <w:r>
        <w:rPr>
          <w:sz w:val="22"/>
          <w:lang w:val="fr-BE"/>
        </w:rPr>
        <w:t>Le texte de l'accord sera publié avec la décision relative à sa conclusion.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238B3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EE48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AC32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E846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C9A693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966D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846FB2"/>
    <w:lvl w:ilvl="0">
      <w:start w:val="1"/>
      <w:numFmt w:val="decimal"/>
      <w:pStyle w:val="ListNumber"/>
      <w:lvlText w:val="%1."/>
      <w:lvlJc w:val="left"/>
      <w:pPr>
        <w:tabs>
          <w:tab w:val="num" w:pos="360"/>
        </w:tabs>
        <w:ind w:left="360" w:hanging="360"/>
      </w:pPr>
    </w:lvl>
  </w:abstractNum>
  <w:abstractNum w:abstractNumId="7">
    <w:nsid w:val="FFFFFF89"/>
    <w:multiLevelType w:val="singleLevel"/>
    <w:tmpl w:val="CCEE76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2:36:3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ECC4BCE-D317-41E6-880E-A56CB846053A"/>
    <w:docVar w:name="LW_COVERPAGE_TYPE" w:val="1"/>
    <w:docVar w:name="LW_CROSSREFERENCE" w:val="&lt;UNUSED&gt;"/>
    <w:docVar w:name="LW_DocType" w:val="COM"/>
    <w:docVar w:name="LW_EMISSION" w:val="21.2.2019"/>
    <w:docVar w:name="LW_EMISSION_ISODATE" w:val="2019-02-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45"/>
    <w:docVar w:name="LW_REF.II.NEW.CP_YEAR" w:val="2019"/>
    <w:docVar w:name="LW_REF.INST.NEW" w:val="COM"/>
    <w:docVar w:name="LW_REF.INST.NEW_ADOPTED" w:val="final"/>
    <w:docVar w:name="LW_REF.INST.NEW_TEXT" w:val="(2019)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nion européenne, de l'accord entre l'Union européenne et la République de Corée sur certains aspects des services aérien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985B794-26FD-44A4-AD7A-36906DF0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1438</Words>
  <Characters>8043</Characters>
  <Application>Microsoft Office Word</Application>
  <DocSecurity>0</DocSecurity>
  <Lines>148</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2018-12-13T13:24:00Z</dcterms:created>
  <dcterms:modified xsi:type="dcterms:W3CDTF">2019-02-13T11:36:00Z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