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5B364DD-9F20-400E-902D-C9C9CF1D3D82" style="width:450.8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ypedudocument"/>
        <w:rPr>
          <w:noProof/>
        </w:rPr>
      </w:pPr>
      <w:r>
        <w:rPr>
          <w:noProof/>
        </w:rPr>
        <w:t xml:space="preserve">РЕШЕНИЕ № 1/2019 </w:t>
      </w:r>
      <w:r>
        <w:rPr>
          <w:noProof/>
        </w:rPr>
        <w:br/>
        <w:t xml:space="preserve">НА СЪВМЕСТНИЯ КОМИТЕТ, СЪЗДАДЕН СЪГЛАСНО </w:t>
      </w:r>
      <w:r>
        <w:rPr>
          <w:noProof/>
        </w:rPr>
        <w:br/>
        <w:t>СПОРАЗУМЕНИЕТО ЗА СТРАТЕГИЧЕСКО ПАРТНЬОРСТВО МЕЖДУ EС И ЯПОНИЯ</w:t>
      </w:r>
    </w:p>
    <w:p>
      <w:pPr>
        <w:pStyle w:val="Datedadoption"/>
        <w:rPr>
          <w:noProof/>
        </w:rPr>
      </w:pPr>
      <w:r>
        <w:rPr>
          <w:noProof/>
        </w:rPr>
        <w:t>от …</w:t>
      </w:r>
    </w:p>
    <w:p>
      <w:pPr>
        <w:pStyle w:val="Titreobjet"/>
        <w:rPr>
          <w:noProof/>
        </w:rPr>
      </w:pPr>
      <w:r>
        <w:rPr>
          <w:noProof/>
        </w:rPr>
        <w:t>за приемане на неговия процедурен правилник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КОМИТЕТ,</w:t>
      </w:r>
    </w:p>
    <w:p>
      <w:pPr>
        <w:rPr>
          <w:noProof/>
        </w:rPr>
      </w:pPr>
      <w:r>
        <w:rPr>
          <w:noProof/>
        </w:rPr>
        <w:t>като взе предвид Споразумението за стратегическо партньорство между Европейския съюз и неговите държави членки, от една страна, и Япония,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по-долу „Споразумението“), и по-специално член 42 от него,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От 1 февруари 2019 г. насам части от Споразумението се прилагат преди влизането му в сила.</w:t>
      </w:r>
    </w:p>
    <w:p>
      <w:pPr>
        <w:pStyle w:val="Considrant"/>
        <w:rPr>
          <w:noProof/>
        </w:rPr>
      </w:pPr>
      <w:r>
        <w:rPr>
          <w:noProof/>
        </w:rPr>
        <w:t>За да се гарантира ефективното прилагане на Споразумението преди влизането му в сила, Съвместният комитет следва да бъде създаден възможно най-скоро.</w:t>
      </w:r>
    </w:p>
    <w:p>
      <w:pPr>
        <w:pStyle w:val="Considrant"/>
        <w:rPr>
          <w:noProof/>
        </w:rPr>
      </w:pPr>
      <w:r>
        <w:rPr>
          <w:noProof/>
        </w:rPr>
        <w:t>Съгласно член 42, параграф 5 от Споразумението Съвместният комитет следва да приеме свой процедурен правилник,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rPr>
          <w:noProof/>
        </w:rPr>
      </w:pP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С настоящото решение се приема изложеният в приложението процедурен правилник на Съвместния комитет.</w:t>
      </w:r>
    </w:p>
    <w:p>
      <w:pPr>
        <w:pStyle w:val="NumPar1"/>
        <w:rPr>
          <w:noProof/>
        </w:rPr>
      </w:pPr>
      <w:r>
        <w:rPr>
          <w:noProof/>
        </w:rPr>
        <w:t>Настоящото решение влиза в сила в</w:t>
      </w:r>
      <w:r>
        <w:rPr>
          <w:b/>
          <w:noProof/>
        </w:rPr>
        <w:t xml:space="preserve"> </w:t>
      </w:r>
      <w:r>
        <w:rPr>
          <w:noProof/>
        </w:rPr>
        <w:t>деня на приемането му.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Подписано в …,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</w:t>
      </w:r>
    </w:p>
    <w:p>
      <w:pPr>
        <w:pStyle w:val="Personnequisigne"/>
        <w:rPr>
          <w:noProof/>
        </w:rPr>
      </w:pPr>
      <w:r>
        <w:rPr>
          <w:noProof/>
        </w:rPr>
        <w:tab/>
        <w:t>Съпредседатели</w:t>
      </w:r>
    </w:p>
    <w:p>
      <w:pPr>
        <w:pStyle w:val="Lignefinal"/>
        <w:rPr>
          <w:noProof/>
        </w:rPr>
      </w:pPr>
    </w:p>
    <w:p>
      <w:pPr>
        <w:jc w:val="center"/>
        <w:rPr>
          <w:b/>
          <w:noProof/>
        </w:rPr>
      </w:pPr>
      <w:r>
        <w:rPr>
          <w:noProof/>
        </w:rPr>
        <w:br w:type="page"/>
      </w:r>
      <w:r>
        <w:rPr>
          <w:b/>
          <w:noProof/>
        </w:rPr>
        <w:t>Приложение към Решение № 1/2019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Споразумение за стратегическо партньорство </w:t>
      </w:r>
      <w:r>
        <w:rPr>
          <w:b/>
          <w:noProof/>
        </w:rPr>
        <w:br/>
        <w:t xml:space="preserve">между Европейския съюз и неговите държави членки, от една страна, </w:t>
      </w:r>
      <w:r>
        <w:rPr>
          <w:b/>
          <w:noProof/>
        </w:rPr>
        <w:br/>
        <w:t>и Япония, от друга страна</w:t>
      </w:r>
    </w:p>
    <w:p>
      <w:pPr>
        <w:jc w:val="center"/>
        <w:rPr>
          <w:b/>
          <w:noProof/>
        </w:rPr>
      </w:pPr>
      <w:r>
        <w:rPr>
          <w:b/>
          <w:noProof/>
        </w:rPr>
        <w:t>Процедурен правилник на Съвместния комитет</w:t>
      </w:r>
    </w:p>
    <w:p>
      <w:pPr>
        <w:jc w:val="center"/>
        <w:rPr>
          <w:b/>
          <w:noProof/>
        </w:rPr>
      </w:pPr>
    </w:p>
    <w:p>
      <w:pPr>
        <w:jc w:val="center"/>
        <w:rPr>
          <w:i/>
          <w:noProof/>
        </w:rPr>
      </w:pPr>
      <w:bookmarkStart w:id="1" w:name="bookmark7"/>
      <w:r>
        <w:rPr>
          <w:i/>
          <w:noProof/>
        </w:rPr>
        <w:t>Член 1</w:t>
      </w:r>
    </w:p>
    <w:p>
      <w:pPr>
        <w:jc w:val="center"/>
        <w:rPr>
          <w:noProof/>
        </w:rPr>
      </w:pPr>
      <w:r>
        <w:rPr>
          <w:noProof/>
        </w:rPr>
        <w:t>Задачи и състав</w:t>
      </w:r>
      <w:bookmarkEnd w:id="1"/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Съвместният комитет изпълнява задачите, предвидени в член 42 на Споразумението за стратегическо партньорство между Европейския съюз и неговите държави членки, наричани по-долу „страната на Съюза“, от една страна, и Япония, от друга страна (наричано по-долу „Споразумението“).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</w:t>
      </w:r>
      <w:r>
        <w:rPr>
          <w:b/>
          <w:noProof/>
        </w:rPr>
        <w:t xml:space="preserve"> </w:t>
      </w:r>
      <w:r>
        <w:rPr>
          <w:noProof/>
        </w:rPr>
        <w:t>се състои от</w:t>
      </w:r>
      <w:r>
        <w:rPr>
          <w:b/>
          <w:noProof/>
        </w:rPr>
        <w:t xml:space="preserve"> </w:t>
      </w:r>
      <w:r>
        <w:rPr>
          <w:noProof/>
        </w:rPr>
        <w:t xml:space="preserve">представители на страните. </w:t>
      </w:r>
    </w:p>
    <w:p>
      <w:pPr>
        <w:pStyle w:val="Point0"/>
        <w:rPr>
          <w:noProof/>
        </w:rPr>
      </w:pPr>
    </w:p>
    <w:p>
      <w:pPr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jc w:val="center"/>
        <w:rPr>
          <w:noProof/>
        </w:rPr>
      </w:pPr>
      <w:r>
        <w:rPr>
          <w:noProof/>
        </w:rPr>
        <w:t>Председател</w:t>
      </w:r>
    </w:p>
    <w:p>
      <w:pPr>
        <w:rPr>
          <w:noProof/>
        </w:rPr>
      </w:pPr>
      <w:r>
        <w:rPr>
          <w:noProof/>
        </w:rPr>
        <w:t>Съвместният комитет ще се председателства от представителите на страната на Съюза, от една страна, и на Япония, от друга страна, наричани по-долу заедно "страните" и поотделно "страната".</w:t>
      </w:r>
    </w:p>
    <w:p>
      <w:pPr>
        <w:pStyle w:val="Point0"/>
        <w:rPr>
          <w:noProof/>
        </w:rPr>
      </w:pPr>
    </w:p>
    <w:p>
      <w:pPr>
        <w:jc w:val="center"/>
        <w:rPr>
          <w:i/>
          <w:noProof/>
        </w:rPr>
      </w:pPr>
      <w:bookmarkStart w:id="2" w:name="bookmark8"/>
      <w:r>
        <w:rPr>
          <w:i/>
          <w:noProof/>
        </w:rPr>
        <w:t>Член 3</w:t>
      </w:r>
    </w:p>
    <w:p>
      <w:pPr>
        <w:jc w:val="center"/>
        <w:rPr>
          <w:noProof/>
        </w:rPr>
      </w:pPr>
      <w:r>
        <w:rPr>
          <w:noProof/>
        </w:rPr>
        <w:t>Заседания</w:t>
      </w:r>
      <w:bookmarkEnd w:id="2"/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Съвместният комитет обикновено провежда едно заседание годишно, последователно в Токио и в Брюксел, на дата, определена с консенсус. Той заседава и по искане на всяка една от страните с консенсус.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 обикновено заседава на равнище висши служители, освен ако страните не решат нещо друго.</w:t>
      </w:r>
    </w:p>
    <w:p>
      <w:pPr>
        <w:pStyle w:val="Point0"/>
        <w:rPr>
          <w:noProof/>
        </w:rPr>
      </w:pPr>
    </w:p>
    <w:p>
      <w:pPr>
        <w:jc w:val="center"/>
        <w:rPr>
          <w:i/>
          <w:noProof/>
        </w:rPr>
      </w:pPr>
      <w:bookmarkStart w:id="3" w:name="bookmark9"/>
      <w:r>
        <w:rPr>
          <w:i/>
          <w:noProof/>
        </w:rPr>
        <w:t>Член 4</w:t>
      </w:r>
    </w:p>
    <w:p>
      <w:pPr>
        <w:jc w:val="center"/>
        <w:rPr>
          <w:i/>
          <w:noProof/>
        </w:rPr>
      </w:pPr>
      <w:r>
        <w:rPr>
          <w:noProof/>
        </w:rPr>
        <w:t>Публичност</w:t>
      </w:r>
      <w:bookmarkEnd w:id="3"/>
    </w:p>
    <w:p>
      <w:pPr>
        <w:rPr>
          <w:noProof/>
        </w:rPr>
      </w:pPr>
      <w:r>
        <w:rPr>
          <w:noProof/>
        </w:rPr>
        <w:t>Освен ако не е решено друго от страните, заседанията на Съвместния комитет не са публични.</w:t>
      </w:r>
    </w:p>
    <w:p>
      <w:pPr>
        <w:pStyle w:val="Point0"/>
        <w:rPr>
          <w:noProof/>
        </w:rPr>
      </w:pPr>
    </w:p>
    <w:p>
      <w:pPr>
        <w:jc w:val="center"/>
        <w:rPr>
          <w:i/>
          <w:noProof/>
        </w:rPr>
      </w:pPr>
      <w:bookmarkStart w:id="4" w:name="bookmark11"/>
      <w:r>
        <w:rPr>
          <w:i/>
          <w:noProof/>
        </w:rPr>
        <w:t>Член 5</w:t>
      </w:r>
    </w:p>
    <w:p>
      <w:pPr>
        <w:jc w:val="center"/>
        <w:rPr>
          <w:noProof/>
        </w:rPr>
      </w:pPr>
      <w:r>
        <w:rPr>
          <w:noProof/>
        </w:rPr>
        <w:t>Секрета</w:t>
      </w:r>
      <w:bookmarkEnd w:id="4"/>
      <w:r>
        <w:rPr>
          <w:noProof/>
        </w:rPr>
        <w:t>ри</w:t>
      </w:r>
    </w:p>
    <w:p>
      <w:pPr>
        <w:rPr>
          <w:noProof/>
        </w:rPr>
      </w:pPr>
      <w:r>
        <w:rPr>
          <w:noProof/>
        </w:rPr>
        <w:t>Представител на Европейската служба за външна дейност и представител на Министерството на външните работи на Япония съвместно упражняват функциите на секретари на Съвместния комитет. Всички съобщения до съпредседателите на Съвместния комитет и от тях се препращат на секретарите.</w:t>
      </w:r>
      <w:bookmarkStart w:id="5" w:name="bookmark12"/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jc w:val="center"/>
        <w:rPr>
          <w:i/>
          <w:noProof/>
        </w:rPr>
      </w:pPr>
      <w:bookmarkStart w:id="6" w:name="bookmark10"/>
      <w:r>
        <w:rPr>
          <w:i/>
          <w:noProof/>
        </w:rPr>
        <w:t>Член 6</w:t>
      </w:r>
    </w:p>
    <w:p>
      <w:pPr>
        <w:jc w:val="center"/>
        <w:rPr>
          <w:noProof/>
        </w:rPr>
      </w:pPr>
      <w:r>
        <w:rPr>
          <w:noProof/>
        </w:rPr>
        <w:t>Участници</w:t>
      </w:r>
      <w:bookmarkEnd w:id="6"/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Преди всяко заседание съпредседателите се уведомяват от секретарите за предвидения състав на делегацията на всяка от страните.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Когато е уместно и</w:t>
      </w:r>
      <w:r>
        <w:rPr>
          <w:rFonts w:ascii="Calibri" w:hAnsi="Calibri"/>
          <w:noProof/>
        </w:rPr>
        <w:t xml:space="preserve"> </w:t>
      </w:r>
      <w:r>
        <w:rPr>
          <w:noProof/>
        </w:rPr>
        <w:t>с консенсус, на заседанията на Съвместния комитет могат да бъдат поканени да присъстват експерти или представители на съответни образувания — като наблюдатели или за да предоставят информация по определена тема.</w:t>
      </w:r>
    </w:p>
    <w:p>
      <w:pPr>
        <w:rPr>
          <w:noProof/>
        </w:rPr>
      </w:pPr>
    </w:p>
    <w:p>
      <w:pPr>
        <w:jc w:val="center"/>
        <w:rPr>
          <w:i/>
          <w:noProof/>
        </w:rPr>
      </w:pPr>
      <w:r>
        <w:rPr>
          <w:i/>
          <w:noProof/>
        </w:rPr>
        <w:t>Член 7</w:t>
      </w:r>
    </w:p>
    <w:p>
      <w:pPr>
        <w:jc w:val="center"/>
        <w:rPr>
          <w:noProof/>
        </w:rPr>
      </w:pPr>
      <w:r>
        <w:rPr>
          <w:noProof/>
        </w:rPr>
        <w:t>Дневен ред на заседанията</w:t>
      </w:r>
      <w:bookmarkEnd w:id="5"/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Съпредседателите изготвят предварителен дневен ред за всяко заседание. </w:t>
      </w:r>
    </w:p>
    <w:p>
      <w:pPr>
        <w:pStyle w:val="Point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>Предварителният дневен ред се изготвя не по-късно от петнадесет</w:t>
      </w:r>
      <w:r>
        <w:rPr>
          <w:b/>
          <w:noProof/>
        </w:rPr>
        <w:t xml:space="preserve"> </w:t>
      </w:r>
      <w:r>
        <w:rPr>
          <w:noProof/>
        </w:rPr>
        <w:t>дни преди началото на заседанието.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Окончателният дневен ред се приема от Съвместния комитет в началото на всяко заседание. Въпроси, които не са включени в предварителния дневен ред, могат да бъдат добавени към дневния ред по решение на страните.</w:t>
      </w:r>
    </w:p>
    <w:p>
      <w:pPr>
        <w:pStyle w:val="Point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>Съпредседателите могат да решат да съкратят сроковете, посочени в параграф 2, когато това е необходимо.</w:t>
      </w:r>
      <w:r>
        <w:rPr>
          <w:b/>
          <w:noProof/>
        </w:rPr>
        <w:t xml:space="preserve"> </w:t>
      </w:r>
    </w:p>
    <w:p>
      <w:pPr>
        <w:rPr>
          <w:noProof/>
        </w:rPr>
      </w:pPr>
    </w:p>
    <w:p>
      <w:pPr>
        <w:jc w:val="center"/>
        <w:rPr>
          <w:i/>
          <w:noProof/>
          <w:u w:val="single"/>
        </w:rPr>
      </w:pPr>
      <w:bookmarkStart w:id="7" w:name="bookmark13"/>
      <w:r>
        <w:rPr>
          <w:i/>
          <w:noProof/>
        </w:rPr>
        <w:t>Член 8</w:t>
      </w:r>
    </w:p>
    <w:p>
      <w:pPr>
        <w:jc w:val="center"/>
        <w:rPr>
          <w:noProof/>
        </w:rPr>
      </w:pPr>
      <w:r>
        <w:rPr>
          <w:noProof/>
        </w:rPr>
        <w:t>Протокол</w:t>
      </w:r>
      <w:bookmarkEnd w:id="7"/>
    </w:p>
    <w:p>
      <w:pPr>
        <w:pStyle w:val="Point0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  <w:t>Секретарите съвместно изготвят протокола от всяко заседание във възможно най-кратък срок, но не по-късно от два месеца</w:t>
      </w:r>
      <w:r>
        <w:rPr>
          <w:b/>
          <w:noProof/>
        </w:rPr>
        <w:t xml:space="preserve"> </w:t>
      </w:r>
      <w:r>
        <w:rPr>
          <w:noProof/>
        </w:rPr>
        <w:t>след края на всяко заседание,</w:t>
      </w:r>
      <w:r>
        <w:rPr>
          <w:b/>
          <w:noProof/>
        </w:rPr>
        <w:t xml:space="preserve"> </w:t>
      </w:r>
      <w:r>
        <w:rPr>
          <w:noProof/>
        </w:rPr>
        <w:t xml:space="preserve">освен ако не е решено друго с консенсус. Проектът на протокола включва по принцип окончателния дневен ред и резюме от обсъжданията по всяка точка от дневния ред. </w:t>
      </w:r>
    </w:p>
    <w:p>
      <w:pPr>
        <w:pStyle w:val="Point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>Проектът на протокола се одобрява в писмена форма от страните във възможно най-кратък срок, но не по-късно от два месеца след края на всяко заседание, освен ако не е решено друго с консенсус.</w:t>
      </w:r>
      <w:r>
        <w:rPr>
          <w:b/>
          <w:noProof/>
        </w:rPr>
        <w:t xml:space="preserve"> 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br w:type="page"/>
      </w:r>
    </w:p>
    <w:p>
      <w:pPr>
        <w:jc w:val="center"/>
        <w:rPr>
          <w:i/>
          <w:noProof/>
        </w:rPr>
      </w:pPr>
      <w:r>
        <w:rPr>
          <w:i/>
          <w:noProof/>
        </w:rPr>
        <w:t>Член 9</w:t>
      </w:r>
    </w:p>
    <w:p>
      <w:pPr>
        <w:jc w:val="center"/>
        <w:rPr>
          <w:noProof/>
        </w:rPr>
      </w:pPr>
      <w:r>
        <w:rPr>
          <w:noProof/>
        </w:rPr>
        <w:t>Решения и препоръки</w:t>
      </w:r>
    </w:p>
    <w:p>
      <w:pPr>
        <w:pStyle w:val="Point0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  <w:t>В рамките на своите функции и задачи съгласно член 42 от Споразумението, Съвместният комитет отправя препоръки и приема решения, когато е уместно. Те се обозначават като „Решение“ или „Препоръка“, последвано от пореден номер, датата на тяхното приемане и описание на предмета им. Във всички решения или препоръки се посочват датите на влизането им в сила.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 отправя препоръки и приема решения с консенсус.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Съвместният комитет може да реши да отправи препоръки и да приеме решения по писмена процедура чрез размяна на ноти между съпредседателите на Съвместния комитет.</w:t>
      </w:r>
    </w:p>
    <w:p>
      <w:pPr>
        <w:pStyle w:val="Point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>Препоръките и решенията на Съвместния комитет се приемат в писмена форма от съпредседателите.</w:t>
      </w:r>
      <w:r>
        <w:rPr>
          <w:b/>
          <w:noProof/>
        </w:rPr>
        <w:t xml:space="preserve"> </w:t>
      </w:r>
    </w:p>
    <w:p>
      <w:pPr>
        <w:pStyle w:val="Point0"/>
        <w:rPr>
          <w:b/>
          <w:noProof/>
        </w:rPr>
      </w:pPr>
      <w:r>
        <w:rPr>
          <w:noProof/>
        </w:rPr>
        <w:t>5.</w:t>
      </w:r>
      <w:r>
        <w:rPr>
          <w:noProof/>
        </w:rPr>
        <w:tab/>
        <w:t>Всяка от страните може да реши да публикува решенията и препоръките на Съвместния комитет на подходящ носител.</w:t>
      </w:r>
      <w:r>
        <w:rPr>
          <w:b/>
          <w:noProof/>
        </w:rPr>
        <w:t xml:space="preserve"> </w:t>
      </w:r>
    </w:p>
    <w:p>
      <w:pPr>
        <w:rPr>
          <w:b/>
          <w:noProof/>
        </w:rPr>
      </w:pPr>
    </w:p>
    <w:p>
      <w:pPr>
        <w:jc w:val="center"/>
        <w:rPr>
          <w:i/>
          <w:noProof/>
        </w:rPr>
      </w:pPr>
      <w:bookmarkStart w:id="8" w:name="bookmark17"/>
      <w:r>
        <w:rPr>
          <w:i/>
          <w:noProof/>
        </w:rPr>
        <w:t>Член 10</w:t>
      </w:r>
    </w:p>
    <w:p>
      <w:pPr>
        <w:jc w:val="center"/>
        <w:rPr>
          <w:noProof/>
        </w:rPr>
      </w:pPr>
      <w:r>
        <w:rPr>
          <w:noProof/>
        </w:rPr>
        <w:t>Разноски</w:t>
      </w:r>
      <w:bookmarkEnd w:id="8"/>
    </w:p>
    <w:p>
      <w:pPr>
        <w:pStyle w:val="Point0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  <w:t>Всяка страна поема</w:t>
      </w:r>
      <w:r>
        <w:rPr>
          <w:b/>
          <w:noProof/>
        </w:rPr>
        <w:t xml:space="preserve"> </w:t>
      </w:r>
      <w:r>
        <w:rPr>
          <w:noProof/>
        </w:rPr>
        <w:t>за своя сметка всички разноски, които е направила в резултат на участието си в заседанията на Съвместния комитет, както по отношение на разходите за персонал, пътните и дневните разходи, така и по отношение на пощенските и телекомуникационните разходи</w:t>
      </w:r>
      <w:r>
        <w:rPr>
          <w:b/>
          <w:noProof/>
        </w:rPr>
        <w:t>.</w:t>
      </w:r>
    </w:p>
    <w:p>
      <w:pPr>
        <w:pStyle w:val="Point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>Разходите по организирането на заседанията и копирането и разпечатването на документите се</w:t>
      </w:r>
      <w:r>
        <w:rPr>
          <w:rFonts w:hint="eastAsia"/>
          <w:b/>
          <w:noProof/>
        </w:rPr>
        <w:t xml:space="preserve"> </w:t>
      </w:r>
      <w:r>
        <w:rPr>
          <w:noProof/>
        </w:rPr>
        <w:t>поемат от страната, която е домакин на заседанието</w:t>
      </w:r>
      <w:bookmarkStart w:id="9" w:name="bookmark18"/>
      <w:r>
        <w:rPr>
          <w:b/>
          <w:noProof/>
        </w:rPr>
        <w:t>.</w:t>
      </w:r>
    </w:p>
    <w:p>
      <w:pPr>
        <w:rPr>
          <w:noProof/>
        </w:rPr>
      </w:pPr>
    </w:p>
    <w:p>
      <w:pPr>
        <w:jc w:val="center"/>
        <w:rPr>
          <w:i/>
          <w:noProof/>
        </w:rPr>
      </w:pPr>
      <w:r>
        <w:rPr>
          <w:i/>
          <w:noProof/>
        </w:rPr>
        <w:t>Член 11</w:t>
      </w:r>
      <w:r>
        <w:rPr>
          <w:i/>
          <w:noProof/>
          <w:u w:val="single"/>
        </w:rPr>
        <w:t xml:space="preserve"> </w:t>
      </w:r>
    </w:p>
    <w:p>
      <w:pPr>
        <w:jc w:val="center"/>
        <w:rPr>
          <w:noProof/>
        </w:rPr>
      </w:pPr>
      <w:r>
        <w:rPr>
          <w:noProof/>
        </w:rPr>
        <w:t>Работни групи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Съвместният комитет може да реши да създаде работни групи, които да го подпомагат при изпълнението на задачите му.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 може да реши да прекрати действието на създадена от него работна група или да определи или измени мандата ѝ.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Работните групи докладват на Съвместния комитет след всяко свое заседание.</w:t>
      </w:r>
    </w:p>
    <w:p>
      <w:pPr>
        <w:rPr>
          <w:noProof/>
        </w:rPr>
      </w:pPr>
    </w:p>
    <w:p>
      <w:pPr>
        <w:jc w:val="center"/>
        <w:rPr>
          <w:i/>
          <w:noProof/>
        </w:rPr>
      </w:pPr>
      <w:r>
        <w:rPr>
          <w:i/>
          <w:noProof/>
        </w:rPr>
        <w:t>Член 12</w:t>
      </w:r>
    </w:p>
    <w:p>
      <w:pPr>
        <w:ind w:firstLine="720"/>
        <w:jc w:val="center"/>
        <w:rPr>
          <w:noProof/>
        </w:rPr>
      </w:pPr>
      <w:r>
        <w:rPr>
          <w:noProof/>
        </w:rPr>
        <w:t>Изменение на процедурния правилник</w:t>
      </w:r>
      <w:bookmarkEnd w:id="9"/>
    </w:p>
    <w:p>
      <w:pPr>
        <w:rPr>
          <w:noProof/>
        </w:rPr>
      </w:pPr>
      <w:r>
        <w:rPr>
          <w:noProof/>
        </w:rPr>
        <w:t xml:space="preserve">Страните могат да изменят процедурния правилник в съответствие с член 9. </w:t>
      </w: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ЕС L xx, xx.xx.xxxx, стр.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A002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5AEF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FC6C8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3AACA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2B258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BAC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4A4F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9CAB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1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28 10:16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5B364DD-9F20-400E-902D-C9C9CF1D3D82"/>
    <w:docVar w:name="LW_COVERPAGE_TYPE" w:val="1"/>
    <w:docVar w:name="LW_CROSSREFERENCE" w:val="&lt;UNUSED&gt;"/>
    <w:docVar w:name="LW_DocType" w:val="ANNEX"/>
    <w:docVar w:name="LW_EMISSION" w:val="22.2.2019"/>
    <w:docVar w:name="LW_EMISSION_ISODATE" w:val="2019-02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, \u1074?\u1098?\u1074? \u1074?\u1088?\u1098?\u1079?\u1082?\u1072? \u1089? \u1087?\u1088?\u1080?\u1077?\u1084?\u1072?\u1085?\u1077?\u1090?\u1086? \u1085?\u1072? \u1085?\u1077?\u1075?\u1086?\u1074?\u1080?\u1103? \u1087?\u1088?\u1086?\u1094?\u1077?\u1076?\u1091?\u1088?\u1077?\u1085? \u1087?\u1088?\u1072?\u1074?\u1080?\u1083?\u1085?\u1080?\u108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, \u1074?\u1098?\u1074? \u1074?\u1088?\u1098?\u1079?\u1082?\u1072? \u1089? \u1087?\u1088?\u1080?\u1077?\u1084?\u1072?\u1085?\u1077?\u1090?\u1086? \u1085?\u1072? \u1085?\u1077?\u1075?\u1086?\u1074?\u1080?\u1103? \u1087?\u1088?\u1086?\u1094?\u1077?\u1076?\u1091?\u1088?\u1077?\u1085? \u1087?\u1088?\u1072?\u1074?\u1080?\u1083?\u1085?\u1080?\u108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1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360" w:lineRule="auto"/>
      <w:jc w:val="center"/>
    </w:pPr>
    <w:rPr>
      <w:rFonts w:eastAsiaTheme="minorEastAsia"/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Theme="minorEastAsia"/>
      <w:b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360" w:lineRule="auto"/>
      <w:jc w:val="center"/>
    </w:pPr>
    <w:rPr>
      <w:rFonts w:eastAsiaTheme="minorEastAsia"/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Theme="minorEastAsia"/>
      <w:b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864</Words>
  <Characters>4902</Characters>
  <Application>Microsoft Office Word</Application>
  <DocSecurity>0</DocSecurity>
  <Lines>144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 Jenny (EEAS)</dc:creator>
  <cp:lastModifiedBy>WES PDFC Administrator</cp:lastModifiedBy>
  <cp:revision>8</cp:revision>
  <dcterms:created xsi:type="dcterms:W3CDTF">2019-02-25T15:32:00Z</dcterms:created>
  <dcterms:modified xsi:type="dcterms:W3CDTF">2019-02-28T09:16:00Z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