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5C08347-0C41-47CF-AE66-2E2F861A1474"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t>1.</w:t>
      </w:r>
      <w:r>
        <w:tab/>
      </w:r>
      <w:r>
        <w:rPr>
          <w:noProof/>
        </w:rPr>
        <w:t>ПРЕДМЕТ НА ПРЕДЛОЖЕНИЕТО</w:t>
      </w:r>
    </w:p>
    <w:p>
      <w:pPr>
        <w:pBdr>
          <w:top w:val="nil"/>
          <w:left w:val="nil"/>
          <w:bottom w:val="nil"/>
          <w:right w:val="nil"/>
          <w:between w:val="nil"/>
          <w:bar w:val="nil"/>
        </w:pBdr>
        <w:tabs>
          <w:tab w:val="left" w:pos="850"/>
        </w:tabs>
        <w:spacing w:before="0" w:after="240"/>
        <w:rPr>
          <w:rFonts w:eastAsia="Arial Unicode MS"/>
          <w:noProof/>
        </w:rPr>
      </w:pPr>
      <w:r>
        <w:rPr>
          <w:noProof/>
        </w:rPr>
        <w:t xml:space="preserve">Предложението се отнася до решението за определяне на позицията, която трябва да се заеме от името на Съюза </w:t>
      </w:r>
      <w:r>
        <w:rPr>
          <w:noProof/>
          <w:color w:val="000000"/>
        </w:rPr>
        <w:t>в</w:t>
      </w:r>
      <w:r>
        <w:rPr>
          <w:noProof/>
        </w:rPr>
        <w:t xml:space="preserve"> рамките на Съвместния комитет, създаден съгласно Споразумението за стратегическо партньорство между Европейския съюз и неговите държави членки, от една страна, и Япония, от друга страна, във връзка с предвиденото приемане на решение относно процедурния правилник на Съвместния комитет.</w:t>
      </w:r>
    </w:p>
    <w:p>
      <w:pPr>
        <w:pStyle w:val="ManualHeading1"/>
        <w:rPr>
          <w:rFonts w:eastAsia="Arial Unicode MS"/>
          <w:noProof/>
        </w:rPr>
      </w:pPr>
      <w:r>
        <w:t>2.</w:t>
      </w:r>
      <w:r>
        <w:tab/>
      </w:r>
      <w:r>
        <w:rPr>
          <w:noProof/>
        </w:rPr>
        <w:t>КОНТЕКСТ НА ПРЕДЛОЖЕНИЕТО</w:t>
      </w:r>
    </w:p>
    <w:p>
      <w:pPr>
        <w:pStyle w:val="ManualHeading2"/>
        <w:rPr>
          <w:rFonts w:eastAsia="Arial Unicode MS"/>
          <w:noProof/>
          <w:color w:val="000000"/>
          <w:u w:color="000000"/>
          <w:bdr w:val="nil"/>
        </w:rPr>
      </w:pPr>
      <w:r>
        <w:t>2.1.</w:t>
      </w:r>
      <w:r>
        <w:tab/>
      </w:r>
      <w:r>
        <w:rPr>
          <w:noProof/>
        </w:rPr>
        <w:t>Споразумението за стратегическо партньорство между EС и Япония</w:t>
      </w:r>
    </w:p>
    <w:p>
      <w:pPr>
        <w:rPr>
          <w:rFonts w:eastAsia="Arial Unicode MS"/>
          <w:noProof/>
        </w:rPr>
      </w:pPr>
      <w:r>
        <w:rPr>
          <w:noProof/>
        </w:rPr>
        <w:t xml:space="preserve">Със Споразумението за стратегическо партньорство между Европейския съюз и неговите държави членки, от една страна, и Япония, от друга страна (наричано по-долу „Споразумението“), се цели да се засили партньорството между ЕС и неговите държави членки и Япония и да се задълбочи и укрепи двустранното сътрудничество по въпроси от взаимен интерес, като се отчитат споделените ценности и общите принципи. Това ще бъде постигнато чрез мерки като засилването на диалога на високо равнище. Със Споразумението ще се създаде съгласувана, правно обвързваща рамка за отношенията на ЕС с Япония. Споразумението бе подписано на 17 юли 2018 г. в Токио и се прилага временно от </w:t>
      </w:r>
      <w:r>
        <w:rPr>
          <w:noProof/>
          <w:color w:val="000000" w:themeColor="text1"/>
        </w:rPr>
        <w:t>1 февруари 2019 г.</w:t>
      </w:r>
    </w:p>
    <w:p>
      <w:pPr>
        <w:pStyle w:val="ManualHeading2"/>
        <w:rPr>
          <w:rFonts w:eastAsia="Arial Unicode MS"/>
          <w:noProof/>
        </w:rPr>
      </w:pPr>
      <w:r>
        <w:t>2.2.</w:t>
      </w:r>
      <w:r>
        <w:tab/>
      </w:r>
      <w:r>
        <w:rPr>
          <w:noProof/>
        </w:rPr>
        <w:t>Съвместен комитет</w:t>
      </w:r>
    </w:p>
    <w:p>
      <w:pPr>
        <w:rPr>
          <w:rFonts w:eastAsia="Arial Unicode MS"/>
          <w:noProof/>
        </w:rPr>
      </w:pPr>
      <w:r>
        <w:rPr>
          <w:noProof/>
        </w:rPr>
        <w:t>Съвместният комитет се създава съгласно член 42 от Споразумението. Основната му задача е да координира цялостното партньорство, градящо се на Споразумението, и да осигурява правилното функциониране и ефективното прилагане на Споразумението. Други функции на Съвместния комитет включват: задачата да представлява форум за разясняване на релевантни изменения на политики, програми или компетентности, които имат отношение към Споразумението; вземането на решения за допълнителни области на сътрудничество, които не са посочени в Споразумението, при условие че те са в съответствие с целите на Споразумението и полагане на усилия за разрешаване на спорове, които биха могли да възникнат при тълкуването, прилагането или изпълнението на Споразумението.</w:t>
      </w:r>
    </w:p>
    <w:p>
      <w:pPr>
        <w:rPr>
          <w:rFonts w:eastAsia="Arial Unicode MS"/>
          <w:noProof/>
        </w:rPr>
      </w:pPr>
      <w:r>
        <w:rPr>
          <w:noProof/>
        </w:rPr>
        <w:t>Съвместният комитет отправя препоръки и приема решения, когато е уместно, и улеснява конкретни аспекти на сътрудничеството на основата на Споразумението. Съвместният комитет действа с консенсус и следва да провежда заседание веднъж годишно, последователно в Токио и в Брюксел. Съвместният комитет приема свой процедурен правилник.</w:t>
      </w:r>
    </w:p>
    <w:p>
      <w:pPr>
        <w:pStyle w:val="ManualHeading2"/>
        <w:rPr>
          <w:rFonts w:eastAsia="Arial Unicode MS"/>
          <w:noProof/>
        </w:rPr>
      </w:pPr>
      <w:r>
        <w:t>2.3.</w:t>
      </w:r>
      <w:r>
        <w:tab/>
      </w:r>
      <w:r>
        <w:rPr>
          <w:noProof/>
        </w:rPr>
        <w:t>Предвиденият акт на Съвместния комитет</w:t>
      </w:r>
    </w:p>
    <w:p>
      <w:pPr>
        <w:rPr>
          <w:noProof/>
        </w:rPr>
      </w:pPr>
      <w:r>
        <w:rPr>
          <w:noProof/>
          <w:color w:val="000000"/>
        </w:rPr>
        <w:t>С предвидения акт се цели</w:t>
      </w:r>
      <w:r>
        <w:rPr>
          <w:noProof/>
        </w:rPr>
        <w:t xml:space="preserve"> в съответствие с член 42, параграф 5, от Споразумението да се приеме процедурният правилник, уреждащ организацията на Съвместния комитет, за да се осигури прилагането на Споразумението.</w:t>
      </w:r>
    </w:p>
    <w:p>
      <w:pPr>
        <w:pStyle w:val="ManualHeading1"/>
        <w:rPr>
          <w:rFonts w:eastAsia="Arial Unicode MS"/>
          <w:noProof/>
        </w:rPr>
      </w:pPr>
      <w:r>
        <w:t>3.</w:t>
      </w:r>
      <w:r>
        <w:tab/>
      </w:r>
      <w:r>
        <w:rPr>
          <w:noProof/>
        </w:rPr>
        <w:t>Позиция, която трябва да се заеме от името на Съюза</w:t>
      </w:r>
    </w:p>
    <w:p>
      <w:pPr>
        <w:pStyle w:val="Text1"/>
        <w:ind w:left="0"/>
        <w:rPr>
          <w:rFonts w:eastAsia="Arial Unicode MS"/>
          <w:noProof/>
        </w:rPr>
      </w:pPr>
      <w:r>
        <w:rPr>
          <w:noProof/>
        </w:rPr>
        <w:t>Позицията, която трябва да се заеме от името на Съюза, следва да цели приемането на процедурния правилник на Съвместния комитет. Позицията следва да се основава на проектите на решения на Съвместния комитет.</w:t>
      </w:r>
    </w:p>
    <w:p>
      <w:pPr>
        <w:pStyle w:val="ManualHeading1"/>
        <w:rPr>
          <w:rFonts w:eastAsia="Arial Unicode MS"/>
          <w:noProof/>
        </w:rPr>
      </w:pPr>
      <w:r>
        <w:t>4.</w:t>
      </w:r>
      <w:r>
        <w:tab/>
      </w:r>
      <w:r>
        <w:rPr>
          <w:noProof/>
        </w:rPr>
        <w:t>ПРАВНО ОСНОВАНИЕ, СУБСИДИАРНОСТ И ПРОПОРЦИОНАЛНОСТ</w:t>
      </w:r>
    </w:p>
    <w:p>
      <w:pPr>
        <w:pStyle w:val="ManualHeading2"/>
        <w:rPr>
          <w:rFonts w:eastAsia="Arial Unicode MS"/>
          <w:noProof/>
          <w:u w:color="000000"/>
          <w:bdr w:val="nil"/>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p>
    <w:p>
      <w:pPr>
        <w:rPr>
          <w:noProof/>
        </w:rPr>
      </w:pPr>
      <w:r>
        <w:rPr>
          <w:noProof/>
        </w:rPr>
        <w:t>Понятието „</w:t>
      </w:r>
      <w:r>
        <w:rPr>
          <w:i/>
          <w:noProof/>
        </w:rPr>
        <w:t>актове с правно действие</w:t>
      </w:r>
      <w:r>
        <w:rPr>
          <w:noProof/>
        </w:rPr>
        <w:t>“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w:t>
      </w:r>
      <w:r>
        <w:rPr>
          <w:i/>
          <w:noProof/>
        </w:rPr>
        <w:t>годни да окажат съществено въздействие върху съдържанието на приеманата от законодателя на Съюза нормативна уредба</w:t>
      </w:r>
      <w:r>
        <w:rPr>
          <w:noProof/>
        </w:rPr>
        <w:t>“</w:t>
      </w:r>
      <w:r>
        <w:rPr>
          <w:rStyle w:val="FootnoteReference"/>
          <w:noProof/>
        </w:rPr>
        <w:footnoteReference w:id="1"/>
      </w:r>
      <w:r>
        <w:rPr>
          <w:noProof/>
        </w:rPr>
        <w:t>.</w:t>
      </w:r>
    </w:p>
    <w:p>
      <w:pPr>
        <w:pStyle w:val="ManualHeading3"/>
        <w:rPr>
          <w:noProof/>
        </w:rPr>
      </w:pPr>
      <w:r>
        <w:t>4.1.2.</w:t>
      </w:r>
      <w:r>
        <w:tab/>
      </w:r>
      <w:r>
        <w:rPr>
          <w:noProof/>
        </w:rPr>
        <w:t>Приложение в конкретния случай</w:t>
      </w:r>
    </w:p>
    <w:p>
      <w:pPr>
        <w:rPr>
          <w:noProof/>
        </w:rPr>
      </w:pPr>
      <w:r>
        <w:rPr>
          <w:noProof/>
        </w:rPr>
        <w:t>Съвместният комитет е орган, създаден съгласно Споразумението за стратегическо партньорство между Европейския съюз и неговите държави членки, от една страна, и Япония, от друга страна.</w:t>
      </w:r>
    </w:p>
    <w:p>
      <w:pPr>
        <w:rPr>
          <w:noProof/>
        </w:rPr>
      </w:pPr>
      <w:r>
        <w:rPr>
          <w:noProof/>
        </w:rPr>
        <w:t>Актът, който Съвместният комитет има за задача да приеме, е акт с правно действие. Това е така, защото в съответствие с член 42, параграф 2, буква ж) от Споразумението Съвместният комитет следва да приема решения, които са обвързващи за страните по Споразумението.</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rFonts w:eastAsia="Arial Unicode MS"/>
          <w:noProof/>
          <w:u w:color="000000"/>
          <w:bdr w:val="nil"/>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noProof/>
        </w:rPr>
      </w:pPr>
      <w:r>
        <w:t>4.2.2.</w:t>
      </w:r>
      <w:r>
        <w:tab/>
      </w:r>
      <w:r>
        <w:rPr>
          <w:noProof/>
        </w:rPr>
        <w:t>Приложение в конкретния случай</w:t>
      </w:r>
    </w:p>
    <w:p>
      <w:pPr>
        <w:rPr>
          <w:noProof/>
        </w:rPr>
      </w:pPr>
      <w:r>
        <w:rPr>
          <w:noProof/>
        </w:rPr>
        <w:t>Един процедурен правилник се отнася до общото функциониране на орган, създаден въз основа на споразумение. Следователно областта, в която попада предвиденото решение трябва да се определи с оглед на Споразумението като цяло</w:t>
      </w:r>
      <w:r>
        <w:rPr>
          <w:rStyle w:val="FootnoteReference"/>
          <w:noProof/>
        </w:rPr>
        <w:footnoteReference w:id="2"/>
      </w:r>
      <w:r>
        <w:rPr>
          <w:noProof/>
        </w:rPr>
        <w:t>.</w:t>
      </w:r>
    </w:p>
    <w:p>
      <w:pPr>
        <w:rPr>
          <w:noProof/>
        </w:rPr>
      </w:pPr>
      <w:r>
        <w:rPr>
          <w:noProof/>
        </w:rPr>
        <w:t>Като се вземат предвид броят и естеството на отнасящите се за ОВППС разпоредби в Споразумението, основната цел и съдържанието на предвидения акт са свързани с икономическото, финансовото и техническото сътрудничество с трети държави. Това е така въпреки факта, че подписването на Споразумението се основава на член 37 от ДЕС и член 212, параграф 1 от ДФЕС. Преценката претърпя промяна с оглед на последващо решение на Съда по дело C-244/17 Комисия/Съвета (Казахстан). Поради това материалноправното основание за предложеното решение е член 212, параграф 1 от ДФЕС.</w:t>
      </w:r>
    </w:p>
    <w:p>
      <w:pPr>
        <w:rPr>
          <w:noProof/>
        </w:rPr>
      </w:pPr>
    </w:p>
    <w:p>
      <w:pPr>
        <w:pStyle w:val="ManualHeading2"/>
        <w:rPr>
          <w:rFonts w:eastAsia="Arial Unicode MS"/>
          <w:noProof/>
          <w:u w:color="000000"/>
          <w:bdr w:val="nil"/>
        </w:rPr>
      </w:pPr>
      <w:r>
        <w:t>4.3.</w:t>
      </w:r>
      <w:r>
        <w:tab/>
      </w:r>
      <w:r>
        <w:rPr>
          <w:noProof/>
        </w:rPr>
        <w:t>Заключение</w:t>
      </w:r>
    </w:p>
    <w:p>
      <w:pPr>
        <w:rPr>
          <w:noProof/>
        </w:rPr>
      </w:pPr>
      <w:r>
        <w:rPr>
          <w:noProof/>
        </w:rPr>
        <w:t>Поради тази причина правното основание на предложеното решение следва да бъде член 212, параграф 1 от ДФЕС във връзка с член 218, параграф 9 от ДФЕС.</w:t>
      </w:r>
    </w:p>
    <w:p>
      <w:pPr>
        <w:rPr>
          <w:noProof/>
        </w:rPr>
        <w:sectPr>
          <w:footerReference w:type="default" r:id="rId16"/>
          <w:footerReference w:type="first" r:id="rId17"/>
          <w:pgSz w:w="11907" w:h="16839"/>
          <w:pgMar w:top="1134" w:right="1418" w:bottom="1134" w:left="1418" w:header="709" w:footer="709" w:gutter="0"/>
          <w:cols w:space="708"/>
          <w:docGrid w:linePitch="360"/>
        </w:sectPr>
      </w:pPr>
    </w:p>
    <w:p>
      <w:pPr>
        <w:pStyle w:val="Rfrenceinterinstitutionnelle"/>
        <w:rPr>
          <w:noProof/>
        </w:rPr>
      </w:pPr>
      <w:r>
        <w:rPr>
          <w:noProof/>
        </w:rPr>
        <w:t>2019/0055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рамките на Съвместния комитет, създаден съгласно Споразумението за стратегическо партньорство между Европейския съюз и неговите държави членки, от една страна, и Япония, от друга страна, във връзка с приемането на неговия процедурен правилник</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212, параграф 1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color w:val="000000" w:themeColor="text1"/>
        </w:rPr>
      </w:pPr>
      <w:r>
        <w:t>(1)</w:t>
      </w:r>
      <w:r>
        <w:tab/>
      </w:r>
      <w:r>
        <w:rPr>
          <w:noProof/>
        </w:rPr>
        <w:t>Споразумението за стратегическо партньорство между Европейския съюз и неговите държави членки, от една страна, и Япония, от друга страна</w:t>
      </w:r>
      <w:r>
        <w:rPr>
          <w:rStyle w:val="FootnoteReference"/>
          <w:noProof/>
        </w:rPr>
        <w:footnoteReference w:id="3"/>
      </w:r>
      <w:r>
        <w:rPr>
          <w:noProof/>
        </w:rPr>
        <w:t xml:space="preserve"> (наричано по-долу „Споразумението“), беше подписано в Токио на 17 юли 2018 г. и се прилага временно от </w:t>
      </w:r>
      <w:r>
        <w:rPr>
          <w:noProof/>
          <w:color w:val="000000" w:themeColor="text1"/>
        </w:rPr>
        <w:t>1 февруари 2019 г.</w:t>
      </w:r>
    </w:p>
    <w:p>
      <w:pPr>
        <w:pStyle w:val="ManualConsidrant"/>
        <w:rPr>
          <w:noProof/>
        </w:rPr>
      </w:pPr>
      <w:r>
        <w:t>(2)</w:t>
      </w:r>
      <w:r>
        <w:tab/>
      </w:r>
      <w:r>
        <w:rPr>
          <w:noProof/>
        </w:rPr>
        <w:t>С член 42, параграф 1 от Споразумението се създава съвместен комитет, който да координира цялостното партньорство, градящо се на Споразумението (наричан по-долу „Съвместният комитет“).</w:t>
      </w:r>
    </w:p>
    <w:p>
      <w:pPr>
        <w:pStyle w:val="ManualConsidrant"/>
        <w:rPr>
          <w:noProof/>
        </w:rPr>
      </w:pPr>
      <w:r>
        <w:t>(3)</w:t>
      </w:r>
      <w:r>
        <w:tab/>
      </w:r>
      <w:r>
        <w:rPr>
          <w:noProof/>
        </w:rPr>
        <w:t>В член 42, параграф 5 от Споразумението се предвижда, че Съвместният комитет приема свой процедурен правилник.</w:t>
      </w:r>
    </w:p>
    <w:p>
      <w:pPr>
        <w:pStyle w:val="ManualConsidrant"/>
        <w:rPr>
          <w:noProof/>
        </w:rPr>
      </w:pPr>
      <w:r>
        <w:t>(4)</w:t>
      </w:r>
      <w:r>
        <w:tab/>
      </w:r>
      <w:r>
        <w:rPr>
          <w:noProof/>
        </w:rPr>
        <w:t>Процедурният правилник на Съвместния комитет следва да бъде приет възможно най-скоро, за да се гарантира ефективното прилагане на Споразумението.</w:t>
      </w:r>
    </w:p>
    <w:p>
      <w:pPr>
        <w:pStyle w:val="ManualConsidrant"/>
        <w:rPr>
          <w:noProof/>
        </w:rPr>
      </w:pPr>
      <w:r>
        <w:t>(5)</w:t>
      </w:r>
      <w:r>
        <w:tab/>
      </w:r>
      <w:r>
        <w:rPr>
          <w:noProof/>
        </w:rPr>
        <w:t>Целесъобразно е да се установи позицията, която трябва да се заеме от името на Съюза в рамките на Съвместния комитет, тъй като процедурният правилник ще определи функционирането на Съвместния комитет, който отговаря за администрирането на споразумението и за гарантиране на неговото подходящо прилагане,</w:t>
      </w:r>
    </w:p>
    <w:p>
      <w:pPr>
        <w:rPr>
          <w:noProof/>
        </w:rPr>
      </w:pP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 xml:space="preserve">Позицията, която трябва да се заеме от името на Съюза на първото заседание на Съвместния комитет, </w:t>
      </w:r>
      <w:r>
        <w:rPr>
          <w:noProof/>
          <w:sz w:val="23"/>
        </w:rPr>
        <w:t>създаден съгласно член 42 от Споразумението за стратегическо партньорство между Европейския съюз и неговите държави членки, от една страна, и Япония, от друга страна, във връзка с приемането на неговия процедурния правилник,</w:t>
      </w:r>
      <w:r>
        <w:rPr>
          <w:noProof/>
        </w:rPr>
        <w:t xml:space="preserve"> е да се подкрепи приемането от Съвместния комитет на неговия процедурния правилник който се съдържа в проекта на решение на Съвместния комитет, приложен към настоящото решение.</w:t>
      </w:r>
    </w:p>
    <w:p>
      <w:pPr>
        <w:pStyle w:val="Titrearticle"/>
        <w:rPr>
          <w:noProof/>
        </w:rPr>
      </w:pPr>
      <w:r>
        <w:rPr>
          <w:noProof/>
        </w:rPr>
        <w:t>Член 2</w:t>
      </w:r>
    </w:p>
    <w:p>
      <w:pPr>
        <w:rPr>
          <w:noProof/>
        </w:rPr>
      </w:pPr>
      <w:r>
        <w:rPr>
          <w:noProof/>
        </w:rPr>
        <w:t>Адресат на настоящото решение е Комисията.</w:t>
      </w:r>
    </w:p>
    <w:p>
      <w:pPr>
        <w:rPr>
          <w:noProof/>
        </w:rPr>
      </w:pP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Дело C-399/12 Германия/Съвет (OIV), ECLI:EU:C:2014:2258, т. 61—64.</w:t>
      </w:r>
    </w:p>
  </w:footnote>
  <w:footnote w:id="2">
    <w:p>
      <w:pPr>
        <w:pStyle w:val="FootnoteText"/>
      </w:pPr>
      <w:r>
        <w:rPr>
          <w:rStyle w:val="FootnoteReference"/>
        </w:rPr>
        <w:footnoteRef/>
      </w:r>
      <w:r>
        <w:tab/>
        <w:t xml:space="preserve">Дело C-244/17 Комисия/Съвет (Казахстан), </w:t>
      </w:r>
      <w:r>
        <w:rPr>
          <w:rStyle w:val="outputecli"/>
        </w:rPr>
        <w:t>ECLI:EU:C:2018:662, точка 40.</w:t>
      </w:r>
    </w:p>
  </w:footnote>
  <w:footnote w:id="3">
    <w:p>
      <w:pPr>
        <w:pStyle w:val="FootnoteText"/>
      </w:pPr>
      <w:r>
        <w:rPr>
          <w:rStyle w:val="FootnoteReference"/>
        </w:rPr>
        <w:footnoteRef/>
      </w:r>
      <w:r>
        <w:tab/>
        <w:t>ОВ L 216, 24.8.2018 г., стр.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7AAAE2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BA0D9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641A9DF6"/>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48F9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A48424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424100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8185CA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16E6E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28 10:15:0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5C08347-0C41-47CF-AE66-2E2F861A1474"/>
    <w:docVar w:name="LW_COVERPAGE_TYPE" w:val="1"/>
    <w:docVar w:name="LW_CROSSREFERENCE" w:val="&lt;UNUSED&gt;"/>
    <w:docVar w:name="LW_DocType" w:val="COM"/>
    <w:docVar w:name="LW_EMISSION" w:val="22.2.2019"/>
    <w:docVar w:name="LW_EMISSION_ISODATE" w:val="2019-02-22"/>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55"/>
    <w:docVar w:name="LW_REF.II.NEW.CP_YEAR" w:val="2019"/>
    <w:docVar w:name="LW_REF.INST.NEW" w:val="COM"/>
    <w:docVar w:name="LW_REF.INST.NEW_ADOPTED" w:val="final"/>
    <w:docVar w:name="LW_REF.INST.NEW_TEXT" w:val="(2019)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9?\u1098?\u1075?\u1083?\u1072?\u1089?\u1085?\u1086? \u1057?\u1087?\u1086?\u1088?\u1072?\u1079?\u1091?\u1084?\u1077?\u1085?\u1080?\u1077?\u1090?\u1086? \u1079?\u1072? \u1089?\u1090?\u1088?\u1072?\u1090?\u1077?\u1075?\u1080?\u1095?\u1077?\u1089?\u1082?\u1086? \u1087?\u1072?\u1088?\u1090?\u1085?\u1100?\u1086?\u1088?\u1089?\u1090?\u1074?\u1086? \u1084?\u1077?\u1078?\u1076?\u1091? \u1045?\u1074?\u1088?\u1086?\u1087?\u1077?\u1081?\u1089?\u1082?\u1080?\u1103? \u1089?\u1098?\u1102?\u1079? \u1080? \u1085?\u1077?\u1075?\u1086?\u1074?\u1080?\u1090?\u1077? \u1076?\u1098?\u1088?\u1078?\u1072?\u1074?\u1080? \u1095?\u1083?\u1077?\u1085?\u1082?\u1080?, \u1086?\u1090? \u1077?\u1076?\u1085?\u1072? \u1089?\u1090?\u1088?\u1072?\u1085?\u1072?, \u1080? \u1071?\u1087?\u1086?\u1085?\u1080?\u1103?, \u1086?\u1090? \u1076?\u1088?\u1091?\u1075?\u1072? \u1089?\u1090?\u1088?\u1072?\u1085?\u1072?, \u1074?\u1098?\u1074? \u1074?\u1088?\u1098?\u1079?\u1082?\u1072? \u1089? \u1087?\u1088?\u1080?\u1077?\u1084?\u1072?\u1085?\u1077?\u1090?\u1086? \u1085?\u1072? \u1085?\u1077?\u1075?\u1086?\u1074?\u1080?\u1103? \u1087?\u1088?\u1086?\u1094?\u1077?\u1076?\u1091?\u1088?\u1077?\u1085? \u1087?\u1088?\u1072?\u1074?\u1080?\u1083?\u1085?\u1080?\u108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D668-0DB2-41FC-821A-5EAE5B20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6</Pages>
  <Words>1211</Words>
  <Characters>7073</Characters>
  <Application>Microsoft Office Word</Application>
  <DocSecurity>0</DocSecurity>
  <Lines>141</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dcterms:created xsi:type="dcterms:W3CDTF">2019-02-27T09:39:00Z</dcterms:created>
  <dcterms:modified xsi:type="dcterms:W3CDTF">2019-02-28T09:15:00Z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