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299221F-C012-4838-A977-D4F49B7E91BF"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 </w:t>
      </w:r>
    </w:p>
    <w:p>
      <w:pPr>
        <w:rPr>
          <w:noProof/>
          <w:szCs w:val="24"/>
        </w:rPr>
      </w:pPr>
      <w:r>
        <w:rPr>
          <w:noProof/>
        </w:rPr>
        <w:t>Съгласно член 54, параграф 4 от Регламент (ЕС) 2016/1624, когато се предвижда разполагане на европейски екипи за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обхваща всички аспекти, необходими за провеждане на действията. По-специално то включва описание на обхвата на операцията, гражданската и наказателната отговорност, задачите и правомощията на членовете на екипите. Споразумението за статуса гарантира пълно зачитане на основните права по време на операциите.</w:t>
      </w:r>
    </w:p>
    <w:p>
      <w:pPr>
        <w:rPr>
          <w:iCs/>
          <w:noProof/>
          <w:szCs w:val="24"/>
        </w:rPr>
      </w:pPr>
      <w:r>
        <w:rPr>
          <w:noProof/>
        </w:rPr>
        <w:t xml:space="preserve">Въз основа на приетите от Съвета указания за водене на преговори Европейската комисия договори с Босна и Херцеговина споразумение за статуса на действия, провеждани от Европейската агенция за гранична и брегова охрана в Босна и Херцеговина („споразумение за статуса“) с оглед на създаването на правна рамка, която да даде възможност за незабавни действия чрез изготвянето на оперативни планове при нужда от бързо реагиране. Въпреки че миграционните потоци в региона са много по-ниски, отколкото през 2015 г. и 2016 г., организираните престъпни мрежи адаптират бързо своите маршрути и методи за трафик на незаконни мигранти към всякакви нови обстоятелства. От началото на 2018 г. Босна и Херцеговина е изправена пред нараснал приток на мигранти. С въвеждането на споразумението за статуса отговорните органи на Босна и Херцеговина и държавите — членки на ЕС, координирани от Европейската агенция за гранична и брегова охрана, ще бъдат в много по-добра позиция да реагират бързо на това развитие. </w:t>
      </w:r>
    </w:p>
    <w:p>
      <w:pPr>
        <w:rPr>
          <w:iCs/>
          <w:noProof/>
          <w:szCs w:val="24"/>
        </w:rPr>
      </w:pPr>
      <w:r>
        <w:rPr>
          <w:noProof/>
        </w:rPr>
        <w:t xml:space="preserve">Приложеното предложение за решение на Съвета представлява правният инструмент за подписването на споразумението за статуса между Европейския съюз и Босна и Херцеговина. </w:t>
      </w:r>
    </w:p>
    <w:p>
      <w:pPr>
        <w:rPr>
          <w:noProof/>
        </w:rPr>
      </w:pPr>
      <w:r>
        <w:rPr>
          <w:noProof/>
        </w:rPr>
        <w:t xml:space="preserve">На 16 октомври 2017 г. Съветът упълномощи Комисията да започне преговори с Босна и Херцеговина за сключване на споразумение за статуса на действия, провеждани от Европейската агенция за гранична и брегова охрана в Босна и Херцеговина. </w:t>
      </w:r>
    </w:p>
    <w:p>
      <w:pPr>
        <w:rPr>
          <w:iCs/>
          <w:noProof/>
          <w:szCs w:val="24"/>
        </w:rPr>
      </w:pPr>
      <w:r>
        <w:rPr>
          <w:noProof/>
        </w:rPr>
        <w:t xml:space="preserve">Преговорите относно споразумение за статуса бяха започнати на 9 юли 2018 г., а вторият им кръг се проведе на 10 октомври 2018 г. Споразумението за статуса бе парафирано от ръководителите на преговарящите екипи. </w:t>
      </w:r>
    </w:p>
    <w:p>
      <w:pPr>
        <w:rPr>
          <w:iCs/>
          <w:noProof/>
          <w:szCs w:val="24"/>
        </w:rPr>
      </w:pPr>
      <w:r>
        <w:rPr>
          <w:noProof/>
        </w:rPr>
        <w:lastRenderedPageBreak/>
        <w:t xml:space="preserve">Комисията счита, че целите, определени от Съвета в неговите указания за водене на преговорите, са постигнати и че споразумението за статуса е приемливо за Съюза. </w:t>
      </w:r>
    </w:p>
    <w:p>
      <w:pPr>
        <w:spacing w:after="240"/>
        <w:rPr>
          <w:iCs/>
          <w:noProof/>
          <w:szCs w:val="24"/>
        </w:rPr>
      </w:pPr>
      <w:r>
        <w:rPr>
          <w:noProof/>
        </w:rPr>
        <w:t xml:space="preserve">Държавите членки бяха информирани и с тях бяха проведени консултации в съответната работна група на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after="240"/>
        <w:rPr>
          <w:iCs/>
          <w:noProof/>
          <w:szCs w:val="24"/>
        </w:rPr>
      </w:pPr>
      <w:r>
        <w:rPr>
          <w:noProof/>
        </w:rPr>
        <w:t>Четиринадесет държави членки имат понастоящем двустранни споразумения с Босна и Херцеговина, които включват редица съвместни мерки като гранични проверки, наблюдение, патрулиране, връщане и т.н. Освен това съществува и работна договореност между Министерството на сигурността на Босна и Херцеговина и Европейската агенция за гранична и брегова охрана; то включва по-специално редовното участие като наблюдатели на представители на агенция „Гранична полиция“ на Министерството на сигурността в координирани съвместни операции на Европейската агенция за гранична и брегова охрана на територията на държави членки, със съгласието на приемащата държава членка.</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rPr>
          <w:b/>
          <w:noProof/>
          <w:szCs w:val="24"/>
        </w:rPr>
      </w:pPr>
      <w:r>
        <w:rPr>
          <w:noProof/>
        </w:rPr>
        <w:t>Европейската програма за миграцията</w:t>
      </w:r>
      <w:r>
        <w:rPr>
          <w:rStyle w:val="FootnoteReference"/>
          <w:noProof/>
        </w:rPr>
        <w:footnoteReference w:id="2"/>
      </w:r>
      <w:r>
        <w:rPr>
          <w:noProof/>
        </w:rPr>
        <w:t xml:space="preserve"> се основава на четири стълба. Един от тях е управлението на границите: това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Босна и Херцеговина също ще окаже положително въздействие върху външните граници на ЕС, по-специално външните граници на Хърватия, както и границите на Босна и Херцеговина. По-нататъшното засилване на сигурността по външните граници е в съответствие и с Европейската програма за сигурност</w:t>
      </w:r>
      <w:r>
        <w:rPr>
          <w:rStyle w:val="FootnoteReference"/>
          <w:noProof/>
        </w:rPr>
        <w:footnoteReference w:id="3"/>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са член 77, параграф 2, букви б) и г) и член 79, параграф 2, буква в) от ДФЕС във връзка с член 218, параграф 5 от ДФЕС. </w:t>
      </w:r>
    </w:p>
    <w:p>
      <w:pPr>
        <w:autoSpaceDE w:val="0"/>
        <w:autoSpaceDN w:val="0"/>
        <w:adjustRightInd w:val="0"/>
        <w:rPr>
          <w:noProof/>
          <w:szCs w:val="24"/>
        </w:rPr>
      </w:pPr>
      <w:r>
        <w:rPr>
          <w:noProof/>
        </w:rPr>
        <w:t xml:space="preserve">Сключването от Европейския съюз на споразумение за статуса е изрично предвидено в член 54, параграф 4 от Регламент (ЕС) 2016/1624, който гласи, че в случаите, когато се предвижда разполагане на европейски екипи за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autoSpaceDE w:val="0"/>
        <w:autoSpaceDN w:val="0"/>
        <w:adjustRightInd w:val="0"/>
        <w:rPr>
          <w:noProof/>
          <w:szCs w:val="24"/>
        </w:rPr>
      </w:pPr>
      <w:r>
        <w:rPr>
          <w:noProof/>
        </w:rPr>
        <w:t xml:space="preserve">Съгласно член 3, параграф 2 от ДФЕС Съюзът разполага </w:t>
      </w:r>
      <w:r>
        <w:rPr>
          <w:i/>
          <w:noProof/>
        </w:rPr>
        <w:t>inter alia</w:t>
      </w:r>
      <w:r>
        <w:rPr>
          <w:noProof/>
        </w:rPr>
        <w:t xml:space="preserve">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предвижда, че Европейският съюз сключва споразумение за статуса със съответната трета държава. Следователно приложеното споразумение с Босна и Херцеговина попада в рамките на изключителната компетентност на Европейския съюз.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Пропорционалност</w:t>
      </w:r>
    </w:p>
    <w:p>
      <w:pPr>
        <w:spacing w:after="240"/>
        <w:rPr>
          <w:noProof/>
          <w:szCs w:val="24"/>
        </w:rPr>
      </w:pPr>
      <w:r>
        <w:rPr>
          <w:noProof/>
        </w:rPr>
        <w:t xml:space="preserve">С оглед на това, че мрежите на организираната престъпност бързо адаптират своите маршрути и методи за трафик на незаконни мигранти, участието на ЕС се изисква, за да се подобри контролът по границите на Босна и Херцеговина. Споразумението за статуса е необходимо, за да се позволи на отговорните органи на Босна и Херцеговина и държавите — членки на ЕС, координирани от Европейската агенция за гранична и брегова охрана, да реагират бързо на такива възможни развития. То ще даде възможност за разполагане на европейски екипи за гранична и брегова охрана от Европейската агенция за гранична и брегова охрана в Босна и Херцеговина в случай на внезапен приток на мигранти.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5 от ДФЕС, който предвижда приемането от Съвета на решения относно международни споразумения.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Heading2"/>
        <w:ind w:left="0" w:firstLine="0"/>
        <w:rPr>
          <w:rFonts w:eastAsia="Arial Unicode MS"/>
          <w:b w:val="0"/>
          <w:noProof/>
          <w:u w:color="000000"/>
          <w:bdr w:val="nil"/>
        </w:rPr>
      </w:pPr>
      <w:r>
        <w:rPr>
          <w:b w:val="0"/>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rPr>
          <w:noProof/>
          <w:szCs w:val="24"/>
        </w:rPr>
      </w:pPr>
      <w:r>
        <w:rPr>
          <w:noProof/>
        </w:rPr>
        <w:t>Споразумението за статуса съдържа разпоредби, с които се гарантира защитата на основните права на лицата, засегнати от действията на членовете на екипите, които участват в действия, координирани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t xml:space="preserve">Разпоредбите относно основните права са обяснени по-подробно в точка 5 „Други елементи“. </w:t>
      </w:r>
    </w:p>
    <w:p>
      <w:pPr>
        <w:pStyle w:val="ManualHeading1"/>
        <w:rPr>
          <w:noProof/>
        </w:rPr>
      </w:pPr>
      <w:r>
        <w:rPr>
          <w:noProof/>
        </w:rPr>
        <w:lastRenderedPageBreak/>
        <w:t>4.</w:t>
      </w:r>
      <w:r>
        <w:rPr>
          <w:noProof/>
        </w:rPr>
        <w:tab/>
        <w:t>ОТРАЖЕНИЕ ВЪРХУ БЮДЖЕТА</w:t>
      </w:r>
    </w:p>
    <w:p>
      <w:pPr>
        <w:autoSpaceDE w:val="0"/>
        <w:autoSpaceDN w:val="0"/>
        <w:rPr>
          <w:iCs/>
          <w:noProof/>
          <w:szCs w:val="24"/>
        </w:rPr>
      </w:pPr>
      <w:r>
        <w:rPr>
          <w:noProof/>
        </w:rPr>
        <w:t xml:space="preserve">Споразумението за статуса само по себе си няма да доведе до финансови последици. Самото разполагане на европейски екипи за гранична и брегова охрана въз основа на оперативен план и съответното споразумение за отпускане на безвъзмездни средства води до разходи, които се поемат от бюджета на Европейската агенция за гранична и брегова охрана.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Босна и Херцеговина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Босна и Херцеговина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обработката на лични данни. </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spacing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Обхват на споразумението</w:t>
      </w:r>
    </w:p>
    <w:p>
      <w:pPr>
        <w:rPr>
          <w:rFonts w:eastAsia="Times New Roman"/>
          <w:noProof/>
        </w:rPr>
      </w:pPr>
      <w:r>
        <w:rPr>
          <w:noProof/>
        </w:rPr>
        <w:t>По силата на това споразумение Европейската агенция за гранична и брегова охрана следва да бъде в състояние да разполага европейски екипи за гранична и брегова охрана с изпълнителни правомощия в Босна и Херцеговина, за да извършват съвместни операции и бърза гранична намеса. Макар това споразумение да не разширява обхвата на Споразумението между Европейската общност и Босна и Херцеговина за обратното приемане на незаконно пребиваващи лица („Споразумението между ЕО и Босна и Херцеговина за обратното приемане“)</w:t>
      </w:r>
      <w:r>
        <w:rPr>
          <w:rStyle w:val="FootnoteReference"/>
          <w:noProof/>
        </w:rPr>
        <w:footnoteReference w:id="4"/>
      </w:r>
      <w:r>
        <w:rPr>
          <w:noProof/>
        </w:rPr>
        <w:t>, на екипите на Европейската агенция за гранична и брегова охрана следва да бъде разрешено също така, в хода на конкретна операция по връщане, да съдействат на Босна и Херцеговина при идентифицирането на лицата, които следва да бъдат приети обратно в Босна и Херцеговина в съответствие със Споразумението между ЕО и Босна и Херцеговина за обратното приемане</w:t>
      </w:r>
      <w:r>
        <w:rPr>
          <w:rStyle w:val="Hyperlink"/>
          <w:noProof/>
        </w:rPr>
        <w:t>.</w:t>
      </w:r>
    </w:p>
    <w:p>
      <w:pPr>
        <w:spacing w:after="240"/>
        <w:rPr>
          <w:rFonts w:eastAsia="Times New Roman"/>
          <w:noProof/>
        </w:rPr>
      </w:pPr>
      <w:r>
        <w:rPr>
          <w:noProof/>
        </w:rPr>
        <w:t>Европейските екипи за гранична и брегова охрана могат да бъдат разполагани на територията на Босна и Херцеговина само в регионите, граничещи с външните граници на ЕС, като членовете на екипа разполагат с изпълнителни правомощия в тези региони на Босна и Херцеговина, както е посочено в оперативния план.</w:t>
      </w:r>
    </w:p>
    <w:p>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Босна и Херцеговина.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rPr>
      </w:pPr>
      <w:r>
        <w:rPr>
          <w:noProof/>
        </w:rPr>
        <w:lastRenderedPageBreak/>
        <w:t xml:space="preserve">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на бързата гранична намеса. </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екипите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 Те спазват националното законодателство на Босна и Херцеговина.</w:t>
      </w:r>
    </w:p>
    <w:p>
      <w:pPr>
        <w:rPr>
          <w:noProof/>
        </w:rPr>
      </w:pPr>
      <w:r>
        <w:rPr>
          <w:noProof/>
        </w:rPr>
        <w:t>Екипите извършват действия на територията на Босна и Херцеговина единствено съгласно инструкциите и в присъствието на гранични служители или други полицейски служители на Босна и Херцеговина.</w:t>
      </w:r>
    </w:p>
    <w:p>
      <w:pPr>
        <w:rPr>
          <w:rFonts w:eastAsia="Times New Roman"/>
          <w:noProof/>
        </w:rPr>
      </w:pPr>
      <w:r>
        <w:rPr>
          <w:noProof/>
        </w:rPr>
        <w:t>Членовете на екипа носят, когато е уместно, собствената си униформа, видими лични идентификационни знаци, както и синя лента на ръкава на униформата с отличителните знаци на Европейския съюз и на Агенцията. Те носят също така документ за акредитиране, за да може тяхната самоличност да бъде установена от националните органи на Босна и Херцеговина.</w:t>
      </w:r>
    </w:p>
    <w:p>
      <w:pPr>
        <w:rPr>
          <w:rFonts w:eastAsia="Times New Roman"/>
          <w:noProof/>
        </w:rPr>
      </w:pPr>
      <w:r>
        <w:rPr>
          <w:noProof/>
        </w:rPr>
        <w:t xml:space="preserve">Членовете на екипа могат да носят служебни оръжия, боеприпаси и оборудване, разрешени в съответствие с националното право на собствената им държава и правото на Босна и Херцеговина. Агенция „Гранична полиция“ на Босна и Херцеговина уведомява предварително Агенцията за разрешените служебни оръжия, боеприпаси и оборудване, както и за съответната правна рамка и условията за тяхното използване. Агенцията представя предварително на агенция „Гранична полиция“ на Босна и Херцеговина списъка със служебните оръжия на членовете на екипа (вид и серийни номера на оръжията; вид и количество боеприпаси). </w:t>
      </w:r>
    </w:p>
    <w:p>
      <w:pPr>
        <w:rPr>
          <w:rFonts w:eastAsia="Times New Roman"/>
          <w:noProof/>
        </w:rPr>
      </w:pPr>
      <w:r>
        <w:rPr>
          <w:noProof/>
        </w:rPr>
        <w:t xml:space="preserve">Членовете на екипа могат да използват сила, включително служебни оръжия, боеприпаси и оборудване, със съгласието на собствената си държава и на агенция „Гранична полиция“ на Босна и Херцеговина, в присъствието на гранични служители или друг съответен персонал на Босна и Херцеговина и в съответствие с националното право на Босна и Херцеговина. Агенция „Гранична полиция“ на Босна и Херцеговина може да разреши на членове на екипа да използват сила в отсъствието на гранични служители. </w:t>
      </w:r>
    </w:p>
    <w:p>
      <w:pPr>
        <w:spacing w:after="240"/>
        <w:rPr>
          <w:rFonts w:eastAsia="Times New Roman"/>
          <w:iCs/>
          <w:noProof/>
        </w:rPr>
      </w:pPr>
      <w:r>
        <w:rPr>
          <w:noProof/>
        </w:rPr>
        <w:t xml:space="preserve">При поискване Босна и Херцеговина може да съобщи на членовете на екипа информация, съдържаща се в националните бази данни, ако това е необходимо за изпълнението на оперативните цели.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rPr>
        <w:t>Членовете на екипа се ползват с имунитет по отношение на наказателната юрисдикция на Босна и Херцеговина за всички актове, извършени при изпълнение на техните служебни функции („по време на служба“), но не се ползват с такъв имунитет за актове, извършени, когато те не са на смяна.</w:t>
      </w:r>
      <w:r>
        <w:rPr>
          <w:noProof/>
          <w:color w:val="000000"/>
        </w:rPr>
        <w:t xml:space="preserve"> </w:t>
      </w:r>
    </w:p>
    <w:p>
      <w:pPr>
        <w:rPr>
          <w:rFonts w:eastAsia="Times New Roman"/>
          <w:noProof/>
          <w:color w:val="000000"/>
          <w:szCs w:val="24"/>
        </w:rPr>
      </w:pPr>
      <w:r>
        <w:rPr>
          <w:noProof/>
        </w:rPr>
        <w:lastRenderedPageBreak/>
        <w:t>В оперативния план се излагат подробно действията, за които се дава имунитет по отношение на наказателната юрисдикция на Босна и Херцеговина.</w:t>
      </w:r>
      <w:r>
        <w:rPr>
          <w:noProof/>
          <w:color w:val="000000"/>
        </w:rPr>
        <w:t xml:space="preserve"> </w:t>
      </w:r>
    </w:p>
    <w:p>
      <w:pPr>
        <w:rPr>
          <w:rFonts w:eastAsia="Times New Roman"/>
          <w:noProof/>
          <w:color w:val="000000"/>
          <w:szCs w:val="24"/>
        </w:rPr>
      </w:pPr>
      <w:r>
        <w:rPr>
          <w:noProof/>
          <w:color w:val="000000"/>
        </w:rPr>
        <w:t xml:space="preserve">При твърдения за извършено престъпление от член на екипа, преди да започне производството пред съда, изпълнителният директор на Агенцията действа експедитивно и удостоверява пред компетентните съдебни органи на Босна и Херцеговина дали въпросният акт е извършен при изпълнение на служебните функции на лицето или не. </w:t>
      </w:r>
      <w:r>
        <w:rPr>
          <w:noProof/>
        </w:rPr>
        <w:t>Изпълнителният директор на Агенцията взема решение след внимателно разглеждане на всяко изявление, направено от компетентния орган на държавата членка, която е разположила граничния служител или друг компетентен служител, и компетентните органи на Босна и Херцеговина.</w:t>
      </w:r>
    </w:p>
    <w:p>
      <w:pPr>
        <w:rPr>
          <w:rFonts w:eastAsia="Times New Roman"/>
          <w:noProof/>
          <w:color w:val="000000"/>
          <w:szCs w:val="24"/>
        </w:rPr>
      </w:pPr>
      <w:r>
        <w:rPr>
          <w:noProof/>
        </w:rPr>
        <w:t>Привилегиите, предоставени на членовете на екипа, и имунитетът по отношение на наказателната юрисдикция на Босна и Херцеговина не ги освобождават от юрисдикцията на изпращащата държава членка.</w:t>
      </w:r>
      <w:r>
        <w:rPr>
          <w:noProof/>
          <w:color w:val="000000"/>
        </w:rPr>
        <w:t xml:space="preserve">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zCs w:val="24"/>
        </w:rPr>
      </w:pPr>
      <w:r>
        <w:rPr>
          <w:noProof/>
        </w:rPr>
        <w:t>Имунитетът на членовете на екипите по отношение на наказателната, гражданската и административната юрисдикция на Босна и Херцеговина може да бъде снет от държавата членка, която е разположила въпросния граничен служител или друг съответен член на персонала.</w:t>
      </w:r>
      <w:r>
        <w:rPr>
          <w:noProof/>
          <w:color w:val="000000"/>
        </w:rPr>
        <w:t xml:space="preserve"> Подобно снемане на имунитет винаги трябва да бъде изрично.</w:t>
      </w:r>
    </w:p>
    <w:p>
      <w:pPr>
        <w:rPr>
          <w:rFonts w:eastAsia="Times New Roman"/>
          <w:noProof/>
          <w:color w:val="000000"/>
          <w:szCs w:val="24"/>
        </w:rPr>
      </w:pPr>
      <w:r>
        <w:rPr>
          <w:noProof/>
          <w:color w:val="000000"/>
        </w:rPr>
        <w:t xml:space="preserve">В споразумението се предвижда механизъм за обезщетяване на вреди. Този механизъм за обезщетяване се основава на член 42 от Регламент (ЕС) 2016/1624 относно европейската гранична и брегова охрана. </w:t>
      </w:r>
      <w:r>
        <w:rPr>
          <w:noProof/>
        </w:rPr>
        <w:t>Ако вредата е причинена от член на екип „по време на служба“, отговорността се поема от Босна и Херцеговина.</w:t>
      </w:r>
      <w:r>
        <w:rPr>
          <w:noProof/>
          <w:color w:val="000000"/>
        </w:rPr>
        <w:t xml:space="preserve"> </w:t>
      </w:r>
      <w:r>
        <w:rPr>
          <w:noProof/>
        </w:rPr>
        <w:t>Ако вредата е причинена „по време на служба“ от член на екип от участваща държава членка вследствие на груба небрежност или умишлено нарушение или ако актът е извършен по време, когато лицето не е било на смяна, Босна и Херцеговина може да поиска чрез изпълнителния директор на Агенцията съответната участваща държава членка да изплати обезщетение.</w:t>
      </w:r>
      <w:r>
        <w:rPr>
          <w:noProof/>
          <w:color w:val="000000"/>
        </w:rPr>
        <w:t xml:space="preserve"> </w:t>
      </w:r>
      <w:r>
        <w:rPr>
          <w:noProof/>
        </w:rPr>
        <w:t>Ако служител на Агенцията причини щети, Босна и Херцеговина може да поиска да бъде платено обезщетение от Агенцията.</w:t>
      </w:r>
      <w:r>
        <w:rPr>
          <w:noProof/>
          <w:color w:val="000000"/>
        </w:rPr>
        <w:t xml:space="preserve"> </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наказателно или гражданско производство, което не е свързано със служебните им функции.</w:t>
      </w:r>
    </w:p>
    <w:p>
      <w:pPr>
        <w:rPr>
          <w:rFonts w:eastAsia="Times New Roman"/>
          <w:noProof/>
          <w:color w:val="000000"/>
          <w:szCs w:val="24"/>
        </w:rPr>
      </w:pPr>
      <w:r>
        <w:rPr>
          <w:noProof/>
          <w:color w:val="000000"/>
        </w:rPr>
        <w:t>Имуществото на членовете на екипа, което е необходимо за изпълнението на служебните им функции, не може да бъде изземвано. При граждански производства членовете на екипа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rPr>
        <w:t>Членовете на екипа са освободени от изискванията на разпоредбите в областта на социалната сигурност, които може да са в сила в Босна и Херцеговина, по отношение на услугите, предоставени на Агенцията.</w:t>
      </w:r>
      <w:r>
        <w:rPr>
          <w:noProof/>
          <w:color w:val="000000"/>
        </w:rPr>
        <w:t xml:space="preserve"> </w:t>
      </w:r>
      <w:r>
        <w:rPr>
          <w:noProof/>
        </w:rPr>
        <w:t>Те са също освободени от всички форми на данъчно облагане в Босна и Херцеговина върху заплатите и възнагражденията, които получават от Агенцията или от своите изпращащи държави членки, както и върху други доходи, получени от източник извън Босна и Херцеговина.</w:t>
      </w:r>
    </w:p>
    <w:p>
      <w:pPr>
        <w:rPr>
          <w:rFonts w:eastAsia="Times New Roman"/>
          <w:noProof/>
          <w:color w:val="000000"/>
          <w:szCs w:val="24"/>
        </w:rPr>
      </w:pPr>
      <w:r>
        <w:rPr>
          <w:noProof/>
        </w:rPr>
        <w:t>Органите на Босна и Херцеговина разрешават внасянето и изнасянето на предмети за лично ползване от членовете на екипа и ги освобождават от всякакви мита, данъци и други такси и налози (различни от таксите за съхранение, превоз и подобни услуги) върху такива предмети.</w:t>
      </w:r>
      <w:r>
        <w:rPr>
          <w:noProof/>
          <w:color w:val="000000"/>
        </w:rPr>
        <w:t xml:space="preserve"> </w:t>
      </w:r>
    </w:p>
    <w:p>
      <w:pPr>
        <w:spacing w:after="0"/>
        <w:rPr>
          <w:rFonts w:eastAsia="Times New Roman"/>
          <w:noProof/>
          <w:color w:val="000000"/>
          <w:szCs w:val="24"/>
        </w:rPr>
      </w:pPr>
      <w:r>
        <w:rPr>
          <w:noProof/>
        </w:rPr>
        <w:lastRenderedPageBreak/>
        <w:t>Личният багаж на членовете на екипа може да бъде проверяван само когато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Босна и Херцеговина за налагане на карантина.</w:t>
      </w:r>
      <w:r>
        <w:rPr>
          <w:noProof/>
          <w:color w:val="000000"/>
        </w:rPr>
        <w:t xml:space="preserve"> В този случай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rPr>
          <w:rFonts w:eastAsia="Times New Roman"/>
          <w:noProof/>
          <w:color w:val="000000"/>
          <w:szCs w:val="24"/>
        </w:rPr>
      </w:pPr>
      <w:r>
        <w:rPr>
          <w:noProof/>
          <w:color w:val="000000"/>
        </w:rPr>
        <w:t xml:space="preserve">Документите, кореспонденцията и имуществото на членовете на екипа са неприкосновени, освен в случай на изпълнителни мерки. </w:t>
      </w:r>
    </w:p>
    <w:p>
      <w:pPr>
        <w:spacing w:after="240"/>
        <w:rPr>
          <w:rFonts w:eastAsia="Times New Roman"/>
          <w:noProof/>
          <w:color w:val="000000"/>
          <w:szCs w:val="24"/>
        </w:rPr>
      </w:pPr>
      <w:r>
        <w:rPr>
          <w:noProof/>
        </w:rPr>
        <w:t xml:space="preserve">Членовете на екипа, които са свидетели, може да бъдат задължени от компетентните органи на Босна и Херцеговина да свидетелстват при пълно спазване на разпоредбите на относно имунитета по отношение на наказателната, гражданската и административната юрисдикция. </w:t>
      </w:r>
    </w:p>
    <w:p>
      <w:pPr>
        <w:rPr>
          <w:i/>
          <w:noProof/>
        </w:rPr>
      </w:pPr>
      <w:r>
        <w:rPr>
          <w:i/>
          <w:noProof/>
        </w:rPr>
        <w:t xml:space="preserve">Документ за акредитиране </w:t>
      </w:r>
    </w:p>
    <w:p>
      <w:pPr>
        <w:spacing w:after="240"/>
        <w:rPr>
          <w:rFonts w:eastAsia="Times New Roman"/>
          <w:noProof/>
          <w:color w:val="000000"/>
          <w:szCs w:val="24"/>
        </w:rPr>
      </w:pPr>
      <w:r>
        <w:rPr>
          <w:noProof/>
        </w:rPr>
        <w:t>Агенцията, в сътрудничество с Босна и Херцеговина, издава на членовете на екипа документ за акредитиране с цел удостоверяване на самоличността им пред органите на Босна и Херцеговина като доказателство за правата на притежателите му да изпълняват задачите и да упражняват правомощията, предоставени им съгласно това споразумение и оперативния план.</w:t>
      </w:r>
      <w:r>
        <w:rPr>
          <w:noProof/>
          <w:color w:val="000000"/>
        </w:rPr>
        <w:t xml:space="preserve"> </w:t>
      </w:r>
      <w:r>
        <w:rPr>
          <w:noProof/>
        </w:rPr>
        <w:t>Документът за акредитиране, заедно с валиден документ за пътуване, предоставя на члена на екипа достъп до Босна и Херцеговина, без да е необходима виза или предварително разрешение;</w:t>
      </w:r>
      <w:r>
        <w:rPr>
          <w:noProof/>
          <w:color w:val="000000"/>
        </w:rPr>
        <w:t xml:space="preserve"> този документ се връща на Агенцията след приключване на действието. </w:t>
      </w:r>
    </w:p>
    <w:p>
      <w:pPr>
        <w:rPr>
          <w:rFonts w:eastAsia="Times New Roman"/>
          <w:i/>
          <w:noProof/>
          <w:color w:val="000000"/>
          <w:szCs w:val="24"/>
        </w:rPr>
      </w:pPr>
      <w:r>
        <w:rPr>
          <w:i/>
          <w:noProof/>
          <w:color w:val="000000"/>
        </w:rPr>
        <w:t>Основни права</w:t>
      </w:r>
    </w:p>
    <w:p>
      <w:pPr>
        <w:rPr>
          <w:rFonts w:eastAsia="Times New Roman"/>
          <w:noProof/>
          <w:color w:val="000000"/>
          <w:spacing w:val="-4"/>
          <w:szCs w:val="24"/>
        </w:rPr>
      </w:pPr>
      <w:r>
        <w:rPr>
          <w:noProof/>
          <w:color w:val="000000"/>
          <w:spacing w:val="-4"/>
        </w:rPr>
        <w:t>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Те не дискриминират лицата въз основа на техния пол, расова или етническа принадлежност, религия или убеждения, увреждане, възраст или сексуална ориентация. Всички мерки в нарушение на тези основни права и свободи са пропорционални на целите, преследвани от тези мерки, и зачитат същността на тези основни права и свободи.</w:t>
      </w:r>
    </w:p>
    <w:p>
      <w:pPr>
        <w:spacing w:after="240"/>
        <w:rPr>
          <w:rFonts w:eastAsia="Times New Roman"/>
          <w:noProof/>
          <w:color w:val="000000"/>
          <w:szCs w:val="24"/>
        </w:rPr>
      </w:pPr>
      <w:r>
        <w:rPr>
          <w:noProof/>
          <w:color w:val="000000"/>
        </w:rPr>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е установила механизма за жалби, посочен в член 72 от Регламент (ЕС) 2016/1624 относно европейската гранична и брегова охрана, и следователно е изпълнила това си задължение. </w:t>
      </w:r>
      <w:r>
        <w:rPr>
          <w:noProof/>
        </w:rPr>
        <w:t>Омбудсманът на Босна и Херцеговина („институция по правата на човека — омбудсман на Босна и Херцеговина“) може да разглежда подобни предполагаеми нарушения, освен ако органите на Босна и Херцеговина решат да създадат механизъм, който е специално предназначен за разглеждането на жалбите, подадени по силата на това споразумение.</w:t>
      </w:r>
    </w:p>
    <w:p>
      <w:pPr>
        <w:rPr>
          <w:rFonts w:eastAsia="Times New Roman"/>
          <w:i/>
          <w:noProof/>
          <w:color w:val="000000"/>
          <w:szCs w:val="24"/>
        </w:rPr>
      </w:pPr>
      <w:r>
        <w:rPr>
          <w:i/>
          <w:noProof/>
          <w:color w:val="000000"/>
        </w:rPr>
        <w:t>Обработване на лични данни</w:t>
      </w:r>
    </w:p>
    <w:p>
      <w:pPr>
        <w:rPr>
          <w:rFonts w:eastAsia="Times New Roman"/>
          <w:i/>
          <w:noProof/>
          <w:color w:val="000000"/>
          <w:szCs w:val="24"/>
        </w:rPr>
      </w:pPr>
      <w:r>
        <w:rPr>
          <w:noProof/>
          <w:color w:val="000000"/>
        </w:rPr>
        <w:t xml:space="preserve">Членовете на екипа обработват лични данни, когато това е необходимо и пропорционално с правилата, приложими за Агенцията и държавите — членки на ЕС. </w:t>
      </w:r>
      <w:r>
        <w:rPr>
          <w:noProof/>
        </w:rPr>
        <w:lastRenderedPageBreak/>
        <w:t>Обработването на лични данни от Босна и Херцеговина се извършва в съответствие с националното законодателство на тази държава.</w:t>
      </w:r>
    </w:p>
    <w:p>
      <w:pPr>
        <w:spacing w:after="240"/>
        <w:rPr>
          <w:rFonts w:eastAsia="Times New Roman"/>
          <w:i/>
          <w:noProof/>
          <w:color w:val="000000"/>
          <w:szCs w:val="24"/>
        </w:rPr>
      </w:pPr>
      <w:r>
        <w:rPr>
          <w:noProof/>
        </w:rPr>
        <w:t>След приключването на всяко действие Агенцията, участващите държави членки и органите на Босна и Херцеговина изготвят общ доклад относно обработването на лични данни от членовете на екипа.</w:t>
      </w:r>
      <w:r>
        <w:rPr>
          <w:noProof/>
          <w:color w:val="000000"/>
        </w:rPr>
        <w:t xml:space="preserve"> </w:t>
      </w:r>
      <w:r>
        <w:rPr>
          <w:noProof/>
        </w:rPr>
        <w:t>Този доклад се изпраща на служителя по въпросите на основните права и длъжностното лице по защита на данните на Агенцията, както и до компетентния орган за защита на личните данни в Босна и Херцеговина.</w:t>
      </w:r>
      <w:r>
        <w:rPr>
          <w:noProof/>
          <w:color w:val="000000"/>
        </w:rPr>
        <w:t xml:space="preserve"> Служителят по въпросите на основните права и длъжностното лице по защита на данните на Агенцията докладват на изпълнителния директор на Агенцията.</w:t>
      </w:r>
    </w:p>
    <w:p>
      <w:pPr>
        <w:rPr>
          <w:i/>
          <w:noProof/>
        </w:rPr>
      </w:pPr>
      <w:r>
        <w:rPr>
          <w:i/>
          <w:noProof/>
        </w:rPr>
        <w:t>Спиране и прекратяване на действието</w:t>
      </w:r>
    </w:p>
    <w:p>
      <w:pPr>
        <w:spacing w:after="240"/>
        <w:rPr>
          <w:rFonts w:eastAsia="Times New Roman"/>
          <w:noProof/>
        </w:rPr>
      </w:pPr>
      <w:r>
        <w:rPr>
          <w:noProof/>
        </w:rPr>
        <w:t xml:space="preserve">Агенцията и органите на Босна и Херцеговина могат да спрат или да прекратят действието, ако счетат, че другата страна не спазва разпоредбите на споразумението или на оперативния план. </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rPr>
        <w:t>Всички въпроси, възникнали във връзка с прилагането на това споразумение, се разглеждат съвместно от агенция „Гранична полиция“ на Босна и Херцеговина и от Агенцията, която се консултира с държавата членка или държавите членки, съседни на Босна и Херцеговина.</w:t>
      </w:r>
      <w:r>
        <w:rPr>
          <w:noProof/>
          <w:color w:val="000000"/>
        </w:rPr>
        <w:t xml:space="preserve"> </w:t>
      </w:r>
    </w:p>
    <w:p>
      <w:pPr>
        <w:spacing w:before="0"/>
        <w:rPr>
          <w:rFonts w:eastAsia="Times New Roman"/>
          <w:iCs/>
          <w:noProof/>
        </w:rPr>
      </w:pPr>
      <w:r>
        <w:rPr>
          <w:noProof/>
        </w:rPr>
        <w:t>Ако не бъде постигнато предварително споразумение, това относно тълкуването или прилагането на това споразумение се уреждат единствено чрез преговори между Босна и Херцеговина и Европейската комисия, която се консултира с държавите членки, съседни на Босна и Херцеговина.</w:t>
      </w:r>
    </w:p>
    <w:p>
      <w:pPr>
        <w:rPr>
          <w:rFonts w:eastAsia="Times New Roman"/>
          <w:i/>
          <w:noProof/>
          <w:color w:val="000000"/>
          <w:szCs w:val="24"/>
        </w:rPr>
      </w:pPr>
      <w:r>
        <w:rPr>
          <w:i/>
          <w:noProof/>
          <w:color w:val="000000"/>
        </w:rPr>
        <w:t>Съвместни декларации</w:t>
      </w:r>
    </w:p>
    <w:p>
      <w:pPr>
        <w:rPr>
          <w:rFonts w:eastAsia="Times New Roman"/>
          <w:noProof/>
          <w:color w:val="000000"/>
          <w:szCs w:val="24"/>
        </w:rPr>
      </w:pPr>
      <w:r>
        <w:rPr>
          <w:noProof/>
        </w:rPr>
        <w:t>Договарящите страни отбелязват, че Европейската агенция за гранична и брегова охрана ще помага на Босна и Херцеговина да контролира ефективно своите граници с всяка държава, която не е членка на Европейския съюз, със средства, различни от разполагането на европейски екипи за гранична и брегова охрана с изпълнителни правомощия.</w:t>
      </w:r>
    </w:p>
    <w:p>
      <w:pPr>
        <w:rPr>
          <w:noProof/>
          <w:szCs w:val="24"/>
        </w:rPr>
      </w:pPr>
      <w:r>
        <w:rPr>
          <w:noProof/>
        </w:rPr>
        <w:t>Близкото асоцииране на Норвегия, Исландия, Швейцария и Лихтенщайн към процеса на изпълнение, прилагане и развитие на достиженията на правото от Шенген е отразено в съвместна декларация към споразумението.</w:t>
      </w:r>
    </w:p>
    <w:p>
      <w:pPr>
        <w:spacing w:after="240" w:line="360" w:lineRule="auto"/>
        <w:jc w:val="center"/>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Съюза на Споразумението между Европейския съюз и Босна и Херцеговина за статуса на действия, провеждани от Европейската агенция за гранична и брегова охрана в Босна и Херцеговина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54, параграф 4 от Регламент (ЕС) 2016/1624, на Европейския парламент и на Съвета</w:t>
      </w:r>
      <w:r>
        <w:rPr>
          <w:rStyle w:val="FootnoteReference"/>
          <w:noProof/>
        </w:rPr>
        <w:footnoteReference w:id="5"/>
      </w:r>
      <w:r>
        <w:rPr>
          <w:noProof/>
        </w:rPr>
        <w:t>, когато се предвижда разполагане на европейски екипи за гранична и брегова охрана в трета държава за действия, за които членовете на екипите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Посоченото споразумение за статуса следва да обхване всички аспекти, необходими за провеждане на действията.</w:t>
      </w:r>
    </w:p>
    <w:p>
      <w:pPr>
        <w:pStyle w:val="ManualConsidrant"/>
        <w:rPr>
          <w:noProof/>
        </w:rPr>
      </w:pPr>
      <w:r>
        <w:t>(2)</w:t>
      </w:r>
      <w:r>
        <w:tab/>
      </w:r>
      <w:r>
        <w:rPr>
          <w:noProof/>
        </w:rPr>
        <w:t xml:space="preserve">На 16 октомври 2017 г. Съветът упълномощи Комисията да започне преговори с Босна и Херцеговина за сключване на споразумение за статуса на действия, провеждани от Европейската агенция за гранична и брегова охрана в Босна и Херцеговина („Споразумението“). </w:t>
      </w:r>
    </w:p>
    <w:p>
      <w:pPr>
        <w:pStyle w:val="ManualConsidrant"/>
        <w:rPr>
          <w:noProof/>
        </w:rPr>
      </w:pPr>
      <w:r>
        <w:t>(3)</w:t>
      </w:r>
      <w:r>
        <w:tab/>
      </w:r>
      <w:r>
        <w:rPr>
          <w:noProof/>
        </w:rPr>
        <w:t xml:space="preserve">Преговорите приключиха успешно с парафиране на споразумението. </w:t>
      </w:r>
    </w:p>
    <w:p>
      <w:pPr>
        <w:pStyle w:val="ManualConsidrant"/>
        <w:rPr>
          <w:noProof/>
          <w:szCs w:val="24"/>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6"/>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szCs w:val="24"/>
        </w:rPr>
      </w:pPr>
      <w:r>
        <w:t>(5)</w:t>
      </w:r>
      <w:r>
        <w:tab/>
      </w:r>
      <w:r>
        <w:rPr>
          <w:noProof/>
        </w:rPr>
        <w:t xml:space="preserve">Настоящото решение представлява развитие на разпоредбите на достиженията на правото от Шенген, в които Ирландия не участва, в съответствие с Решение </w:t>
      </w:r>
      <w:r>
        <w:rPr>
          <w:noProof/>
        </w:rPr>
        <w:lastRenderedPageBreak/>
        <w:t>2002/192/ЕО на Съвета</w:t>
      </w:r>
      <w:r>
        <w:rPr>
          <w:rStyle w:val="FootnoteReference"/>
          <w:noProof/>
        </w:rPr>
        <w:footnoteReference w:id="7"/>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szCs w:val="24"/>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 xml:space="preserve">Поради това споразумението следва да бъде подписано от името на Съюза, при условие че бъде сключено на по-късна дата, и приложените декларации следва да бъдат одобрени,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между Европейския съюз и Босна и Херцеговина за статуса на действия, провеждани от Европейската агенция за гранична и брегова охрана в Босна и Херцеговина („Споразумението“), се одобрява от името на Съюза, при условие че посоченото споразумение бъде сключено.</w:t>
      </w:r>
    </w:p>
    <w:p>
      <w:pPr>
        <w:pStyle w:val="Titrearticle"/>
        <w:rPr>
          <w:noProof/>
        </w:rPr>
      </w:pPr>
      <w:r>
        <w:rPr>
          <w:noProof/>
        </w:rPr>
        <w:t>Член 2</w:t>
      </w:r>
    </w:p>
    <w:p>
      <w:pPr>
        <w:rPr>
          <w:noProof/>
        </w:rPr>
      </w:pPr>
      <w:r>
        <w:rPr>
          <w:noProof/>
        </w:rPr>
        <w:t xml:space="preserve">Декларациите, приложени към настоящото решение, се одобряват от името на Съюза. </w:t>
      </w:r>
    </w:p>
    <w:p>
      <w:pPr>
        <w:pStyle w:val="Titrearticle"/>
        <w:rPr>
          <w:noProof/>
        </w:rPr>
      </w:pPr>
      <w:r>
        <w:rPr>
          <w:noProof/>
        </w:rPr>
        <w:t xml:space="preserve">Член 3 </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w:t>
      </w:r>
      <w:r>
        <w:t>В</w:t>
      </w:r>
      <w:r>
        <w:rPr>
          <w:lang w:val="pt-PT"/>
        </w:rPr>
        <w:t xml:space="preserve"> L 251, 16.9.2016 </w:t>
      </w:r>
      <w:r>
        <w:t>г</w:t>
      </w:r>
      <w:r>
        <w:rPr>
          <w:lang w:val="pt-PT"/>
        </w:rPr>
        <w:t xml:space="preserve">., </w:t>
      </w:r>
      <w:r>
        <w:t>ст</w:t>
      </w:r>
      <w:r>
        <w:rPr>
          <w:lang w:val="pt-PT"/>
        </w:rPr>
        <w:t xml:space="preserve">p. 1. </w:t>
      </w:r>
    </w:p>
  </w:footnote>
  <w:footnote w:id="2">
    <w:p>
      <w:pPr>
        <w:pStyle w:val="FootnoteText"/>
        <w:rPr>
          <w:lang w:val="pt-PT"/>
        </w:rPr>
      </w:pPr>
      <w:r>
        <w:rPr>
          <w:rStyle w:val="FootnoteReference"/>
        </w:rPr>
        <w:footnoteRef/>
      </w:r>
      <w:r>
        <w:rPr>
          <w:lang w:val="pt-PT"/>
        </w:rPr>
        <w:tab/>
        <w:t xml:space="preserve">COM(2015) 240 final. </w:t>
      </w:r>
    </w:p>
  </w:footnote>
  <w:footnote w:id="3">
    <w:p>
      <w:pPr>
        <w:pStyle w:val="FootnoteText"/>
        <w:rPr>
          <w:lang w:val="pt-PT"/>
        </w:rPr>
      </w:pPr>
      <w:r>
        <w:rPr>
          <w:rStyle w:val="FootnoteReference"/>
        </w:rPr>
        <w:footnoteRef/>
      </w:r>
      <w:r>
        <w:rPr>
          <w:lang w:val="pt-PT"/>
        </w:rPr>
        <w:tab/>
        <w:t xml:space="preserve">COM(2015) 185 final. </w:t>
      </w:r>
    </w:p>
  </w:footnote>
  <w:footnote w:id="4">
    <w:p>
      <w:pPr>
        <w:pStyle w:val="FootnoteText"/>
        <w:rPr>
          <w:lang w:val="pt-PT"/>
        </w:rPr>
      </w:pPr>
      <w:r>
        <w:rPr>
          <w:rStyle w:val="FootnoteReference"/>
        </w:rPr>
        <w:footnoteRef/>
      </w:r>
      <w:r>
        <w:rPr>
          <w:lang w:val="pt-PT"/>
        </w:rPr>
        <w:tab/>
      </w:r>
      <w:r>
        <w:t>ОВ</w:t>
      </w:r>
      <w:r>
        <w:rPr>
          <w:lang w:val="pt-PT"/>
        </w:rPr>
        <w:t xml:space="preserve"> L 334, 19.12.2007 </w:t>
      </w:r>
      <w:r>
        <w:t>г</w:t>
      </w:r>
      <w:r>
        <w:rPr>
          <w:lang w:val="pt-PT"/>
        </w:rPr>
        <w:t xml:space="preserve">., </w:t>
      </w:r>
      <w:r>
        <w:t>стр</w:t>
      </w:r>
      <w:r>
        <w:rPr>
          <w:lang w:val="pt-PT"/>
        </w:rPr>
        <w:t>. 66.</w:t>
      </w:r>
    </w:p>
  </w:footnote>
  <w:footnote w:id="5">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2016/1624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септември</w:t>
      </w:r>
      <w:r>
        <w:rPr>
          <w:lang w:val="pt-PT"/>
        </w:rPr>
        <w:t xml:space="preserve"> 2016 </w:t>
      </w:r>
      <w:r>
        <w:t>г</w:t>
      </w:r>
      <w:r>
        <w:rPr>
          <w:lang w:val="pt-PT"/>
        </w:rPr>
        <w:t xml:space="preserve">. </w:t>
      </w:r>
      <w:r>
        <w:t>за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863/2007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Регламент</w:t>
      </w:r>
      <w:r>
        <w:rPr>
          <w:lang w:val="pt-PT"/>
        </w:rPr>
        <w:t xml:space="preserve"> (</w:t>
      </w:r>
      <w:r>
        <w:t>ЕО</w:t>
      </w:r>
      <w:r>
        <w:rPr>
          <w:lang w:val="pt-PT"/>
        </w:rPr>
        <w:t xml:space="preserve">) № 2007/2004 </w:t>
      </w:r>
      <w:r>
        <w:t>на</w:t>
      </w:r>
      <w:r>
        <w:rPr>
          <w:lang w:val="pt-PT"/>
        </w:rPr>
        <w:t xml:space="preserve"> </w:t>
      </w:r>
      <w:r>
        <w:t>Съвета</w:t>
      </w:r>
      <w:r>
        <w:rPr>
          <w:lang w:val="pt-PT"/>
        </w:rPr>
        <w:t xml:space="preserve"> </w:t>
      </w:r>
      <w:r>
        <w:t>и</w:t>
      </w:r>
      <w:r>
        <w:rPr>
          <w:lang w:val="pt-PT"/>
        </w:rPr>
        <w:t xml:space="preserve"> </w:t>
      </w:r>
      <w:r>
        <w:t>Решение</w:t>
      </w:r>
      <w:r>
        <w:rPr>
          <w:lang w:val="pt-PT"/>
        </w:rPr>
        <w:t xml:space="preserve"> 2005/267/</w:t>
      </w:r>
      <w:r>
        <w:t>ЕО</w:t>
      </w:r>
      <w:r>
        <w:rPr>
          <w:lang w:val="pt-PT"/>
        </w:rPr>
        <w:t xml:space="preserve"> </w:t>
      </w:r>
      <w:r>
        <w:t>на</w:t>
      </w:r>
      <w:r>
        <w:rPr>
          <w:lang w:val="pt-PT"/>
        </w:rPr>
        <w:t xml:space="preserve"> </w:t>
      </w:r>
      <w:r>
        <w:t>Съвета</w:t>
      </w:r>
      <w:r>
        <w:rPr>
          <w:lang w:val="pt-PT"/>
        </w:rPr>
        <w:t xml:space="preserve"> (</w:t>
      </w:r>
      <w:r>
        <w:t>ОВ</w:t>
      </w:r>
      <w:r>
        <w:rPr>
          <w:lang w:val="pt-PT"/>
        </w:rPr>
        <w:t> L 251, 16.9.2016 </w:t>
      </w:r>
      <w:r>
        <w:t>г</w:t>
      </w:r>
      <w:r>
        <w:rPr>
          <w:lang w:val="pt-PT"/>
        </w:rPr>
        <w:t xml:space="preserve">., </w:t>
      </w:r>
      <w:r>
        <w:t>стр</w:t>
      </w:r>
      <w:r>
        <w:rPr>
          <w:lang w:val="pt-PT"/>
        </w:rPr>
        <w:t>. 1).</w:t>
      </w:r>
    </w:p>
  </w:footnote>
  <w:footnote w:id="6">
    <w:p>
      <w:pPr>
        <w:pStyle w:val="FootnoteText"/>
        <w:rPr>
          <w:lang w:val="pt-PT"/>
        </w:rPr>
      </w:pPr>
      <w:r>
        <w:rPr>
          <w:rStyle w:val="FootnoteReference"/>
        </w:rPr>
        <w:footnoteRef/>
      </w:r>
      <w:r>
        <w:rPr>
          <w:lang w:val="pt-PT"/>
        </w:rPr>
        <w:tab/>
      </w:r>
      <w:r>
        <w:t>Решение</w:t>
      </w:r>
      <w:r>
        <w:rPr>
          <w:lang w:val="pt-PT"/>
        </w:rPr>
        <w:t xml:space="preserve"> 2000/365/</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май</w:t>
      </w:r>
      <w:r>
        <w:rPr>
          <w:lang w:val="pt-PT"/>
        </w:rPr>
        <w:t xml:space="preserve"> 2000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Обединеното</w:t>
      </w:r>
      <w:r>
        <w:rPr>
          <w:lang w:val="pt-PT"/>
        </w:rPr>
        <w:t xml:space="preserve"> </w:t>
      </w:r>
      <w:r>
        <w:t>кралство</w:t>
      </w:r>
      <w:r>
        <w:rPr>
          <w:lang w:val="pt-PT"/>
        </w:rPr>
        <w:t xml:space="preserve"> </w:t>
      </w:r>
      <w:r>
        <w:t>Великобритания</w:t>
      </w:r>
      <w:r>
        <w:rPr>
          <w:lang w:val="pt-PT"/>
        </w:rPr>
        <w:t xml:space="preserve"> </w:t>
      </w:r>
      <w:r>
        <w:t>и</w:t>
      </w:r>
      <w:r>
        <w:rPr>
          <w:lang w:val="pt-PT"/>
        </w:rPr>
        <w:t xml:space="preserve"> </w:t>
      </w:r>
      <w:r>
        <w:t>Северна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131, 1.6.2000 </w:t>
      </w:r>
      <w:r>
        <w:t>г</w:t>
      </w:r>
      <w:r>
        <w:rPr>
          <w:lang w:val="pt-PT"/>
        </w:rPr>
        <w:t xml:space="preserve">., </w:t>
      </w:r>
      <w:r>
        <w:t>стр</w:t>
      </w:r>
      <w:r>
        <w:rPr>
          <w:lang w:val="pt-PT"/>
        </w:rPr>
        <w:t>. 43).</w:t>
      </w:r>
    </w:p>
  </w:footnote>
  <w:footnote w:id="7">
    <w:p>
      <w:pPr>
        <w:pStyle w:val="FootnoteText"/>
        <w:rPr>
          <w:lang w:val="pt-PT"/>
        </w:rPr>
      </w:pPr>
      <w:r>
        <w:rPr>
          <w:rStyle w:val="FootnoteReference"/>
        </w:rPr>
        <w:footnoteRef/>
      </w:r>
      <w:r>
        <w:rPr>
          <w:lang w:val="pt-PT"/>
        </w:rPr>
        <w:tab/>
      </w:r>
      <w:r>
        <w:t>Решение</w:t>
      </w:r>
      <w:r>
        <w:rPr>
          <w:lang w:val="pt-PT"/>
        </w:rPr>
        <w:t xml:space="preserve"> 2002/192/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28 </w:t>
      </w:r>
      <w:r>
        <w:t>февруари</w:t>
      </w:r>
      <w:r>
        <w:rPr>
          <w:lang w:val="pt-PT"/>
        </w:rPr>
        <w:t xml:space="preserve"> 2002 </w:t>
      </w:r>
      <w:r>
        <w:t>г</w:t>
      </w:r>
      <w:r>
        <w:rPr>
          <w:lang w:val="pt-PT"/>
        </w:rPr>
        <w:t xml:space="preserve">. </w:t>
      </w:r>
      <w:r>
        <w:t>относно</w:t>
      </w:r>
      <w:r>
        <w:rPr>
          <w:lang w:val="pt-PT"/>
        </w:rPr>
        <w:t xml:space="preserve"> </w:t>
      </w:r>
      <w:r>
        <w:t>искането</w:t>
      </w:r>
      <w:r>
        <w:rPr>
          <w:lang w:val="pt-PT"/>
        </w:rPr>
        <w:t xml:space="preserve"> </w:t>
      </w:r>
      <w:r>
        <w:t>на</w:t>
      </w:r>
      <w:r>
        <w:rPr>
          <w:lang w:val="pt-PT"/>
        </w:rPr>
        <w:t xml:space="preserve"> </w:t>
      </w:r>
      <w:r>
        <w:t>Ирландия</w:t>
      </w:r>
      <w:r>
        <w:rPr>
          <w:lang w:val="pt-PT"/>
        </w:rPr>
        <w:t xml:space="preserve"> </w:t>
      </w:r>
      <w:r>
        <w:t>да</w:t>
      </w:r>
      <w:r>
        <w:rPr>
          <w:lang w:val="pt-PT"/>
        </w:rPr>
        <w:t xml:space="preserve"> </w:t>
      </w:r>
      <w:r>
        <w:t>участва</w:t>
      </w:r>
      <w:r>
        <w:rPr>
          <w:lang w:val="pt-PT"/>
        </w:rPr>
        <w:t xml:space="preserve"> </w:t>
      </w:r>
      <w:r>
        <w:t>в</w:t>
      </w:r>
      <w:r>
        <w:rPr>
          <w:lang w:val="pt-PT"/>
        </w:rPr>
        <w:t xml:space="preserve"> </w:t>
      </w:r>
      <w:r>
        <w:t>някои</w:t>
      </w:r>
      <w:r>
        <w:rPr>
          <w:lang w:val="pt-PT"/>
        </w:rPr>
        <w:t xml:space="preserve"> </w:t>
      </w:r>
      <w:r>
        <w:t>разпоредби</w:t>
      </w:r>
      <w:r>
        <w:rPr>
          <w:lang w:val="pt-PT"/>
        </w:rPr>
        <w:t xml:space="preserve"> </w:t>
      </w:r>
      <w:r>
        <w:t>от</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ОВ</w:t>
      </w:r>
      <w:r>
        <w:rPr>
          <w:lang w:val="pt-PT"/>
        </w:rPr>
        <w:t xml:space="preserve"> L 64, 7.3.2002 </w:t>
      </w:r>
      <w:r>
        <w:t>г</w:t>
      </w:r>
      <w:r>
        <w:rPr>
          <w:lang w:val="pt-PT"/>
        </w:rPr>
        <w:t xml:space="preserve">., </w:t>
      </w:r>
      <w:r>
        <w:t>стр</w:t>
      </w:r>
      <w:r>
        <w:rPr>
          <w:lang w:val="pt-PT"/>
        </w:rPr>
        <w:t>. 20).</w:t>
      </w:r>
    </w:p>
    <w:p>
      <w:pPr>
        <w:pStyle w:val="FootnoteText"/>
        <w:rPr>
          <w:lang w:val="pt-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12C5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4060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98D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6A2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DE4A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347F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A84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0A95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9 17:35: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299221F-C012-4838-A977-D4F49B7E91BF"/>
    <w:docVar w:name="LW_COVERPAGE_TYPE" w:val="1"/>
    <w:docVar w:name="LW_CROSSREFERENCE" w:val="&lt;UNUSED&gt;"/>
    <w:docVar w:name="LW_DocType" w:val="COM"/>
    <w:docVar w:name="LW_EMISSION" w:val="28.2.2019"/>
    <w:docVar w:name="LW_EMISSION_ISODATE" w:val="2019-02-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7"/>
    <w:docVar w:name="LW_REF.II.NEW.CP_YEAR" w:val="2019"/>
    <w:docVar w:name="LW_REF.INST.NEW" w:val="COM"/>
    <w:docVar w:name="LW_REF.INST.NEW_ADOPTED" w:val="final"/>
    <w:docVar w:name="LW_REF.INST.NEW_TEXT" w:val="(2019)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41?\u1086?\u1089?\u1085?\u1072? \u1080? \u1061?\u1077?\u1088?\u1094?\u1077?\u1075?\u1086?\u1074?\u1080?\u1085?\u1072?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41?\u1086?\u1089?\u1085?\u1072? \u1080? \u1061?\u1077?\u1088?\u1094?\u1077?\u1075?\u1086?\u1074?\u1080?\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strike w:val="0"/>
      <w:dstrike w:val="0"/>
      <w:color w:val="0065A2"/>
      <w:u w:val="none"/>
      <w:effect w:val="non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strike w:val="0"/>
      <w:dstrike w:val="0"/>
      <w:color w:val="0065A2"/>
      <w:u w:val="none"/>
      <w:effect w:val="none"/>
      <w:shd w:val="clear" w:color="auto" w:fill="aut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9EA9-41F5-4F4E-99DC-7CD029FE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11</Pages>
  <Words>3703</Words>
  <Characters>21668</Characters>
  <Application>Microsoft Office Word</Application>
  <DocSecurity>0</DocSecurity>
  <Lines>393</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2019-02-19T11:40:00Z</dcterms:created>
  <dcterms:modified xsi:type="dcterms:W3CDTF">2019-02-19T16:35:00Z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