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F3EF2C9-68B2-4D95-BFDA-19DFD9DE5280" style="width:450.75pt;height:452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В приложение IA към Регламент (ЕС) 2019/124 таблицата за възможностите за риболов на пясъчница във водите на Съюза от участъци 2a и 3a на ICES и подзона 4 на ICES се заменя със следното:</w:t>
      </w:r>
    </w:p>
    <w:p>
      <w:pPr>
        <w:pStyle w:val="Point1"/>
        <w:rPr>
          <w:noProof/>
        </w:rPr>
      </w:pPr>
      <w:r>
        <w:rPr>
          <w:noProof/>
        </w:rPr>
        <w:t>„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111"/>
        <w:gridCol w:w="1072"/>
        <w:gridCol w:w="1144"/>
        <w:gridCol w:w="1144"/>
        <w:gridCol w:w="1187"/>
        <w:gridCol w:w="1175"/>
        <w:gridCol w:w="1174"/>
        <w:gridCol w:w="1174"/>
      </w:tblGrid>
      <w:tr>
        <w:trPr>
          <w:trHeight w:val="255"/>
        </w:trPr>
        <w:tc>
          <w:tcPr>
            <w:tcW w:w="1112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33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Пясъчница и свързан с нея прилов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352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от 2a, 3a и 4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</w:tr>
      <w:tr>
        <w:trPr>
          <w:trHeight w:val="270"/>
        </w:trPr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 xml:space="preserve">Ammodytes </w:t>
            </w:r>
            <w:r>
              <w:rPr>
                <w:noProof/>
                <w:sz w:val="18"/>
              </w:rPr>
              <w:t>spp</w:t>
            </w:r>
            <w:r>
              <w:rPr>
                <w:i/>
                <w:noProof/>
                <w:sz w:val="18"/>
              </w:rPr>
              <w:t>.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Дания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236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117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2183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4710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4710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Швеция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5721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С изключение на водите в шестмилната зона от изходните линии на Обединеното кралство при Shetland, Fair Isle и Foula.</w:t>
            </w: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069" w:type="dxa"/>
            <w:gridSpan w:val="7"/>
            <w:noWrap/>
            <w:hideMark/>
          </w:tcPr>
          <w:p>
            <w:pPr>
              <w:spacing w:after="0"/>
              <w:rPr>
                <w:rFonts w:eastAsia="Times New Roman"/>
                <w:i/>
                <w:noProof/>
                <w:szCs w:val="24"/>
                <w:vertAlign w:val="superscript"/>
              </w:rPr>
            </w:pPr>
            <w:r>
              <w:rPr>
                <w:noProof/>
                <w:sz w:val="18"/>
                <w:vertAlign w:val="superscript"/>
              </w:rPr>
              <w:t>Приловът на меджид и скумрия може да бъде до 2 % от квотата (OT1/*2A3A4). Сумата от прилова на меджид и скумрия, отчетен спрямо квотата в съответствие с настоящата разпоредба, и от прилова на видове, отчетен спрямо квотата в съответствие с член 15, параграф 8 от Регламент (ЕС) № 1380/2013, не може да надхвърля 9 % от квотата.</w:t>
            </w:r>
            <w:r>
              <w:rPr>
                <w:i/>
                <w:noProof/>
                <w:sz w:val="18"/>
                <w:vertAlign w:val="superscript"/>
              </w:rPr>
              <w:t xml:space="preserve"> </w:t>
            </w:r>
          </w:p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91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Специално условие: уловът в рамките на горепосочените квоти не може да надвишава посочените по-долу количества в следните зони на управление на запасите от пясъчница, определени в приложение IIГ:</w:t>
            </w: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721" w:type="dxa"/>
            <w:gridSpan w:val="5"/>
            <w:noWrap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  <w:sz w:val="18"/>
              </w:rPr>
              <w:t>Зона: Води на Съюза в зоните на управление на запасите от пясъчница</w:t>
            </w:r>
          </w:p>
          <w:p>
            <w:pPr>
              <w:spacing w:after="0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1r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2r</w:t>
            </w:r>
            <w:r>
              <w:rPr>
                <w:b/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3r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5r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7r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(SAN/234_1R)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(SAN/234_2R)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(SAN/234_3R)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(SAN/234_4)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(SAN/234_5R)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(SAN/234_6)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(SAN/234_7R) 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Дания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Обединено кралство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Германия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Швеция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Съюз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Общо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pm</w:t>
            </w:r>
          </w:p>
        </w:tc>
      </w:tr>
      <w:tr>
        <w:trPr>
          <w:trHeight w:val="270"/>
        </w:trPr>
        <w:tc>
          <w:tcPr>
            <w:tcW w:w="918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 </w:t>
            </w:r>
            <w:r>
              <w:rPr>
                <w:noProof/>
                <w:sz w:val="18"/>
                <w:vertAlign w:val="superscript"/>
              </w:rPr>
              <w:t>(1) В зона на управление 2r ОДУ може да се извършва само като мониторингов ОДУ с асоцииран протокол за вземане на проби за риболовната дейност.</w:t>
            </w:r>
            <w:r>
              <w:rPr>
                <w:noProof/>
                <w:color w:val="000000"/>
                <w:sz w:val="18"/>
                <w:vertAlign w:val="superscript"/>
              </w:rPr>
              <w:t> </w:t>
            </w:r>
          </w:p>
        </w:tc>
      </w:tr>
    </w:tbl>
    <w:p>
      <w:pPr>
        <w:rPr>
          <w:noProof/>
        </w:rPr>
      </w:pPr>
      <w:r>
        <w:rPr>
          <w:noProof/>
        </w:rPr>
        <w:t>“.</w:t>
      </w:r>
    </w:p>
    <w:p>
      <w:pPr>
        <w:pStyle w:val="NumPar1"/>
        <w:rPr>
          <w:noProof/>
        </w:rPr>
      </w:pPr>
      <w:r>
        <w:rPr>
          <w:noProof/>
        </w:rPr>
        <w:t>Приложение IЗ към Регламент (ЕС) 2019/124 се заменя със следното:</w:t>
      </w:r>
    </w:p>
    <w:p>
      <w:pPr>
        <w:jc w:val="center"/>
        <w:rPr>
          <w:b/>
          <w:noProof/>
          <w:u w:val="single"/>
        </w:rPr>
      </w:pPr>
      <w:r>
        <w:rPr>
          <w:noProof/>
        </w:rPr>
        <w:t>„</w:t>
      </w:r>
      <w:r>
        <w:rPr>
          <w:b/>
          <w:noProof/>
          <w:u w:val="single"/>
        </w:rPr>
        <w:t>ПРИЛОЖЕНИЕ IЗ</w:t>
      </w:r>
    </w:p>
    <w:p>
      <w:pPr>
        <w:pStyle w:val="NormalCentered"/>
        <w:rPr>
          <w:noProof/>
        </w:rPr>
      </w:pPr>
      <w:r>
        <w:rPr>
          <w:noProof/>
        </w:rPr>
        <w:t>ЗОНА НА КОНВЕНЦИЯТА WCPFC</w:t>
      </w:r>
    </w:p>
    <w:tbl>
      <w:tblPr>
        <w:tblW w:w="9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57"/>
        <w:gridCol w:w="2290"/>
        <w:gridCol w:w="713"/>
        <w:gridCol w:w="960"/>
        <w:gridCol w:w="4440"/>
      </w:tblGrid>
      <w:tr>
        <w:trPr>
          <w:trHeight w:val="227"/>
        </w:trPr>
        <w:tc>
          <w:tcPr>
            <w:tcW w:w="8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Вид: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Риба меч</w:t>
            </w:r>
          </w:p>
          <w:p>
            <w:pPr>
              <w:spacing w:before="60" w:after="60"/>
              <w:rPr>
                <w:i/>
                <w:iCs/>
                <w:noProof/>
                <w:sz w:val="18"/>
                <w:szCs w:val="16"/>
              </w:rPr>
            </w:pPr>
            <w:r>
              <w:rPr>
                <w:i/>
                <w:noProof/>
                <w:sz w:val="18"/>
              </w:rPr>
              <w:t>Xiphias gladius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Зона: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Зона на Конвенцията WCPFC на юг от 20° ю.ш.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(SWO/F7120S)</w:t>
            </w:r>
          </w:p>
        </w:tc>
      </w:tr>
      <w:tr>
        <w:trPr>
          <w:trHeight w:val="227"/>
        </w:trPr>
        <w:tc>
          <w:tcPr>
            <w:tcW w:w="1308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Съюз</w:t>
            </w:r>
          </w:p>
        </w:tc>
        <w:tc>
          <w:tcPr>
            <w:tcW w:w="2290" w:type="dxa"/>
            <w:shd w:val="clear" w:color="auto" w:fill="auto"/>
          </w:tcPr>
          <w:p>
            <w:pPr>
              <w:spacing w:before="60" w:after="60"/>
              <w:jc w:val="right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3 170,36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Предпазен ОДУ</w:t>
            </w:r>
          </w:p>
        </w:tc>
      </w:tr>
      <w:tr>
        <w:trPr>
          <w:trHeight w:val="227"/>
        </w:trPr>
        <w:tc>
          <w:tcPr>
            <w:tcW w:w="13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ОДУ</w:t>
            </w:r>
          </w:p>
        </w:tc>
        <w:tc>
          <w:tcPr>
            <w:tcW w:w="2290" w:type="dxa"/>
            <w:tcBorders>
              <w:bottom w:val="single" w:sz="8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Не се прилага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>“.</w:t>
      </w:r>
    </w:p>
    <w:p>
      <w:pPr>
        <w:pStyle w:val="NumPar1"/>
        <w:rPr>
          <w:noProof/>
        </w:rPr>
      </w:pPr>
      <w:r>
        <w:rPr>
          <w:noProof/>
        </w:rPr>
        <w:t>Приложение VII към Регламент (ЕС) 2019/124 се заменя със следното:</w:t>
      </w:r>
    </w:p>
    <w:p>
      <w:pPr>
        <w:jc w:val="center"/>
        <w:rPr>
          <w:noProof/>
        </w:rPr>
      </w:pPr>
      <w:r>
        <w:rPr>
          <w:noProof/>
        </w:rPr>
        <w:t>„ПРИЛОЖЕНИЕ VII:</w:t>
      </w:r>
    </w:p>
    <w:p>
      <w:pPr>
        <w:jc w:val="center"/>
        <w:rPr>
          <w:noProof/>
        </w:rPr>
      </w:pPr>
      <w:r>
        <w:rPr>
          <w:noProof/>
        </w:rPr>
        <w:t>ЗОНА НА КОНВЕНЦИЯТА WCPFC</w:t>
      </w:r>
    </w:p>
    <w:p>
      <w:pPr>
        <w:rPr>
          <w:noProof/>
        </w:rPr>
      </w:pPr>
      <w:r>
        <w:rPr>
          <w:noProof/>
        </w:rPr>
        <w:t>Максимален брой кораби на Съюза, които имат разрешение за риболов на риба меч в зоните на юг от 20° ю.ш. от зоната на Конвенцията WCPFC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44"/>
        <w:gridCol w:w="4645"/>
      </w:tblGrid>
      <w:tr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14</w:t>
            </w:r>
          </w:p>
        </w:tc>
      </w:tr>
      <w:tr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Съюз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14</w:t>
            </w:r>
          </w:p>
        </w:tc>
      </w:tr>
    </w:tbl>
    <w:p>
      <w:pPr>
        <w:rPr>
          <w:noProof/>
        </w:rPr>
      </w:pPr>
      <w:r>
        <w:rPr>
          <w:noProof/>
        </w:rPr>
        <w:t>“.</w:t>
      </w:r>
    </w:p>
    <w:p>
      <w:pPr>
        <w:pStyle w:val="Text1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rPr>
          <w:noProof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51620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15232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885C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7F010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9EA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9C0DF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9A56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AE8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2-28 09:51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F3EF2C9-68B2-4D95-BFDA-19DFD9DE5280"/>
    <w:docVar w:name="LW_COVERPAGE_TYPE" w:val="1"/>
    <w:docVar w:name="LW_CROSSREFERENCE" w:val="&lt;UNUSED&gt;"/>
    <w:docVar w:name="LW_DocType" w:val="ANNEX"/>
    <w:docVar w:name="LW_EMISSION" w:val="4.3.2019"/>
    <w:docVar w:name="LW_EMISSION_ISODATE" w:val="2019-03-04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7?) 2019/124 \u1087?\u1086? \u1086?\u1090?\u1085?\u1086?\u1096?\u1077?\u1085?\u1080?\u1077? \u1085?\u1072? \u1086?\u1087?\u1088?\u1077?\u1076?\u1077?\u1083?\u1077?\u1085?\u1080? \u1074?\u1098?\u1079?\u1084?\u1086?\u1078?\u1085?\u1086?\u1089?\u1090?\u1080? \u1079?\u1072? \u1088?\u1080?\u1073?\u1086?\u1083?\u1086?\u1074?_x000b_"/>
    <w:docVar w:name="LW_OBJETACTEPRINCIPAL.CP" w:val="\u1079?\u1072? \u1080?\u1079?\u1084?\u1077?\u1085?\u1077?\u1085?\u1080?\u1077? \u1085?\u1072? \u1056?\u1077?\u1075?\u1083?\u1072?\u1084?\u1077?\u1085?\u1090? (\u1045?\u1057?) 2019/124 \u1087?\u1086? \u1086?\u1090?\u1085?\u1086?\u1096?\u1077?\u1085?\u1080?\u1077? \u1085?\u1072? \u1086?\u1087?\u1088?\u1077?\u1076?\u1077?\u1083?\u1077?\u1085?\u1080? \u1074?\u1098?\u1079?\u1084?\u1086?\u1078?\u1085?\u1086?\u1089?\u1090?\u1080? \u1079?\u1072? \u1088?\u1080?\u1073?\u1086?\u1083?\u1086?\u1074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1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_x000b_\u1056?\u1045?\u1043?\u1051?\u1040?\u1052?\u1045?\u1053?\u1058? \u1053?\u1040? \u1057?\u1066?\u1042?\u1045?\u1058?\u1040?_x000b__x000b_"/>
    <w:docVar w:name="LW_TYPEACTEPRINCIPAL.CP" w:val="\u1055?\u1088?\u1077?\u1076?\u1083?\u1086?\u1078?\u1077?\u1085?\u1080?\u1077? \u1079?\u1072?_x000b__x000b_\u1056?\u1045?\u1043?\u1051?\u1040?\u1052?\u1045?\u1053?\u1058? \u1053?\u1040? \u1057?\u1066?\u1042?\u1045?\u1058?\u1040?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ingCentered">
    <w:name w:val="Heading Centered"/>
    <w:basedOn w:val="Normal"/>
    <w:next w:val="Normal"/>
    <w:pPr>
      <w:spacing w:before="360" w:line="360" w:lineRule="auto"/>
      <w:jc w:val="center"/>
      <w:outlineLvl w:val="0"/>
    </w:pPr>
    <w:rPr>
      <w:b/>
      <w:caps/>
      <w:u w:val="single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ingCentered">
    <w:name w:val="Heading Centered"/>
    <w:basedOn w:val="Normal"/>
    <w:next w:val="Normal"/>
    <w:pPr>
      <w:spacing w:before="360" w:line="360" w:lineRule="auto"/>
      <w:jc w:val="center"/>
      <w:outlineLvl w:val="0"/>
    </w:pPr>
    <w:rPr>
      <w:b/>
      <w:caps/>
      <w:u w:val="single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6EF377-8E7E-44F6-B632-831A5510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416</Words>
  <Characters>1887</Characters>
  <Application>Microsoft Office Word</Application>
  <DocSecurity>0</DocSecurity>
  <Lines>235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SANZ Carmen (MARE)</dc:creator>
  <cp:lastModifiedBy>WES PDFC Administrator</cp:lastModifiedBy>
  <cp:revision>8</cp:revision>
  <dcterms:created xsi:type="dcterms:W3CDTF">2019-02-25T12:23:00Z</dcterms:created>
  <dcterms:modified xsi:type="dcterms:W3CDTF">2019-02-28T08:51:00Z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