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49C687D-AE17-4E52-94EA-B90E0356FE53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In Annex IA to Regulation (EU) 2019/124, the fishing opportunities table for sandeel in Union waters of  ICES divisions  2a and 3a and ICES subarea 4 is replaced by the following:</w:t>
      </w:r>
    </w:p>
    <w:p>
      <w:pPr>
        <w:pStyle w:val="Point1"/>
        <w:rPr>
          <w:noProof/>
        </w:rPr>
      </w:pPr>
      <w:r>
        <w:rPr>
          <w:noProof/>
        </w:rPr>
        <w:t>“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1"/>
        <w:gridCol w:w="1072"/>
        <w:gridCol w:w="1144"/>
        <w:gridCol w:w="1144"/>
        <w:gridCol w:w="1187"/>
        <w:gridCol w:w="1175"/>
        <w:gridCol w:w="1174"/>
        <w:gridCol w:w="1174"/>
      </w:tblGrid>
      <w:tr>
        <w:trPr>
          <w:trHeight w:val="255"/>
        </w:trPr>
        <w:tc>
          <w:tcPr>
            <w:tcW w:w="111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3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Sandeel and associated by-catches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 waters of 2a, 3a and 4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</w:tr>
      <w:tr>
        <w:trPr>
          <w:trHeight w:val="270"/>
        </w:trPr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Ammodytes spp.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2183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Excluding waters within six nautical miles of the UK baselines at Shetland, Fair Isle and Foula.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0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Up to 2 % of the quota may consist of by-catches of whiting and mackerel (OT1/*2A3A4). By-catches of whiting and mackerel counted against the quota pursuant to this provision and by-catches of species counted against the quota pursuant to Article 15(8) of Regulation (EU) No 1380/2013 shall, together, not exceed 9 % of the quota.</w:t>
            </w:r>
            <w:r>
              <w:rPr>
                <w:rFonts w:eastAsia="Times New Roman"/>
                <w:i/>
                <w:noProof/>
                <w:sz w:val="18"/>
                <w:szCs w:val="18"/>
                <w:vertAlign w:val="superscript"/>
                <w:lang w:eastAsia="en-GB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Special condition: within the limits of the abovementioned quotas, no more than the quantities given below may be taken in the following sandeel management areas, as defined in Annex IID:</w:t>
            </w: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noProof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Zone: Union waters of sandeel management areas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2r</w:t>
            </w: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3r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5r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t>7r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(SAN/234_2R)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(SAN/234_3R)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(SAN/234_4)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(SAN/234_5R)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(SAN/234_6)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Denmark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United Kingdom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Germany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Sweden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Union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  <w:t>Total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pm</w:t>
            </w:r>
          </w:p>
        </w:tc>
      </w:tr>
      <w:tr>
        <w:trPr>
          <w:trHeight w:val="270"/>
        </w:trPr>
        <w:tc>
          <w:tcPr>
            <w:tcW w:w="918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  <w:r>
              <w:rPr>
                <w:noProof/>
                <w:sz w:val="18"/>
                <w:szCs w:val="18"/>
                <w:vertAlign w:val="superscript"/>
              </w:rPr>
              <w:t>(1) In management area 2r the TAC may only be fished as a monitoring TAC with an associated sampling protocol for the fishery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t>”.</w:t>
      </w:r>
    </w:p>
    <w:p>
      <w:pPr>
        <w:pStyle w:val="NumPar1"/>
        <w:rPr>
          <w:noProof/>
        </w:rPr>
      </w:pPr>
      <w:r>
        <w:rPr>
          <w:noProof/>
        </w:rPr>
        <w:t>Annex IH to Regulation (EU) 2019/124 is replaced by the following:</w:t>
      </w:r>
    </w:p>
    <w:p>
      <w:pPr>
        <w:jc w:val="center"/>
        <w:rPr>
          <w:b/>
          <w:noProof/>
          <w:u w:val="single"/>
        </w:rPr>
      </w:pPr>
      <w:r>
        <w:rPr>
          <w:noProof/>
        </w:rPr>
        <w:t>“</w:t>
      </w:r>
      <w:r>
        <w:rPr>
          <w:b/>
          <w:noProof/>
          <w:u w:val="single"/>
        </w:rPr>
        <w:t>ANNEX IH</w:t>
      </w:r>
    </w:p>
    <w:p>
      <w:pPr>
        <w:pStyle w:val="NormalCentered"/>
        <w:rPr>
          <w:noProof/>
        </w:rPr>
      </w:pPr>
      <w:r>
        <w:rPr>
          <w:noProof/>
        </w:rPr>
        <w:t>WCPFC CONVENTION AREA</w:t>
      </w: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57"/>
        <w:gridCol w:w="2290"/>
        <w:gridCol w:w="713"/>
        <w:gridCol w:w="960"/>
        <w:gridCol w:w="4440"/>
      </w:tblGrid>
      <w:tr>
        <w:trPr>
          <w:trHeight w:val="227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Species: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Swordfish</w:t>
            </w:r>
          </w:p>
          <w:p>
            <w:pPr>
              <w:spacing w:before="60" w:after="60"/>
              <w:rPr>
                <w:i/>
                <w:iCs/>
                <w:noProof/>
                <w:sz w:val="18"/>
                <w:szCs w:val="16"/>
              </w:rPr>
            </w:pPr>
            <w:r>
              <w:rPr>
                <w:i/>
                <w:iCs/>
                <w:noProof/>
                <w:sz w:val="18"/>
                <w:szCs w:val="16"/>
              </w:rPr>
              <w:t>Xiphias gladius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Zone: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WCPFC Convention Area south of 20° S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(SWO/F7120S)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Union</w:t>
            </w:r>
          </w:p>
        </w:tc>
        <w:tc>
          <w:tcPr>
            <w:tcW w:w="2290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3 170,36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Precautionary TAC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TAC</w:t>
            </w:r>
          </w:p>
        </w:tc>
        <w:tc>
          <w:tcPr>
            <w:tcW w:w="2290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Not relevant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”.</w:t>
      </w:r>
    </w:p>
    <w:p>
      <w:pPr>
        <w:pStyle w:val="NumPar1"/>
        <w:rPr>
          <w:noProof/>
        </w:rPr>
      </w:pPr>
      <w:r>
        <w:rPr>
          <w:noProof/>
        </w:rPr>
        <w:t>Annex VII to Regulation (EU) 2019/124 is replaced by the following:</w:t>
      </w:r>
    </w:p>
    <w:p>
      <w:pPr>
        <w:jc w:val="center"/>
        <w:rPr>
          <w:noProof/>
        </w:rPr>
      </w:pPr>
      <w:r>
        <w:rPr>
          <w:noProof/>
        </w:rPr>
        <w:t>“ANNEX VII</w:t>
      </w:r>
    </w:p>
    <w:p>
      <w:pPr>
        <w:jc w:val="center"/>
        <w:rPr>
          <w:noProof/>
        </w:rPr>
      </w:pPr>
      <w:r>
        <w:rPr>
          <w:noProof/>
        </w:rPr>
        <w:t>WCPFC CONVENTION AREA</w:t>
      </w:r>
    </w:p>
    <w:p>
      <w:pPr>
        <w:rPr>
          <w:noProof/>
        </w:rPr>
      </w:pPr>
      <w:r>
        <w:rPr>
          <w:noProof/>
        </w:rPr>
        <w:t>Maximum number of Union fishing vessels authorised to fish for swordfish in areas south of 20° S of the WCPFC Convention Area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44"/>
        <w:gridCol w:w="4645"/>
      </w:tblGrid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Spain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14</w:t>
            </w:r>
          </w:p>
        </w:tc>
      </w:tr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Union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  <w:szCs w:val="20"/>
              </w:rPr>
              <w:t>14</w:t>
            </w:r>
          </w:p>
        </w:tc>
      </w:tr>
    </w:tbl>
    <w:p>
      <w:pPr>
        <w:rPr>
          <w:noProof/>
        </w:rPr>
      </w:pPr>
      <w:r>
        <w:rPr>
          <w:noProof/>
        </w:rPr>
        <w:t>”.</w:t>
      </w:r>
    </w:p>
    <w:p>
      <w:pPr>
        <w:pStyle w:val="Text1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28 09:52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49C687D-AE17-4E52-94EA-B90E0356FE53"/>
    <w:docVar w:name="LW_COVERPAGE_TYPE" w:val="1"/>
    <w:docVar w:name="LW_CROSSREFERENCE" w:val="&lt;UNUSED&gt;"/>
    <w:docVar w:name="LW_DocType" w:val="ANNEX"/>
    <w:docVar w:name="LW_EMISSION" w:val="4.3.2019"/>
    <w:docVar w:name="LW_EMISSION_ISODATE" w:val="2019-03-04"/>
    <w:docVar w:name="LW_EMISSION_LOCATION" w:val="BRX"/>
    <w:docVar w:name="LW_EMISSION_PREFIX" w:val="Brussels, 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2019/124 as regards certain fishing opportunities_x000b_"/>
    <w:docVar w:name="LW_OBJETACTEPRINCIPAL.CP" w:val="amending Regulation (EU) 2019/124 as regards certain fishing opportunities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_x000b_COUNCIL REGULATION _x000b__x000b_"/>
    <w:docVar w:name="LW_TYPEACTEPRINCIPAL.CP" w:val="Proposal for a _x000b__x000b_COUNCIL REGULATION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BA5422-3E54-404D-9B2E-0545DB72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392</Words>
  <Characters>1823</Characters>
  <Application>Microsoft Office Word</Application>
  <DocSecurity>0</DocSecurity>
  <Lines>227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WES PDFC Administrator</cp:lastModifiedBy>
  <cp:revision>8</cp:revision>
  <dcterms:created xsi:type="dcterms:W3CDTF">2019-02-18T14:35:00Z</dcterms:created>
  <dcterms:modified xsi:type="dcterms:W3CDTF">2019-02-28T08:52:00Z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