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3AE86AC-D7FE-4EF9-A484-06F9C8F8DEFE"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I</w:t>
      </w:r>
    </w:p>
    <w:p>
      <w:pPr>
        <w:pStyle w:val="Header"/>
        <w:jc w:val="center"/>
        <w:rPr>
          <w:b/>
          <w:noProof/>
        </w:rPr>
      </w:pPr>
      <w:r>
        <w:rPr>
          <w:noProof/>
        </w:rPr>
        <w:t>Позиция, която трябва да се заеме от името на Съюза в рамките на Организацията за риболова в Югоизточния Атлантически океан (SEAFO)</w:t>
      </w:r>
    </w:p>
    <w:p>
      <w:pPr>
        <w:pStyle w:val="Heading1"/>
        <w:numPr>
          <w:ilvl w:val="0"/>
          <w:numId w:val="5"/>
        </w:numPr>
        <w:rPr>
          <w:noProof/>
        </w:rPr>
      </w:pPr>
      <w:r>
        <w:rPr>
          <w:noProof/>
        </w:rPr>
        <w:t>ПРИНЦИПИ</w:t>
      </w:r>
    </w:p>
    <w:p>
      <w:pPr>
        <w:rPr>
          <w:noProof/>
        </w:rPr>
      </w:pPr>
      <w:r>
        <w:rPr>
          <w:noProof/>
        </w:rPr>
        <w:t>В рамките на SEAFO Съюзът:</w:t>
      </w:r>
    </w:p>
    <w:p>
      <w:pPr>
        <w:pStyle w:val="Point0"/>
        <w:rPr>
          <w:noProof/>
        </w:rPr>
      </w:pPr>
      <w:r>
        <w:rPr>
          <w:noProof/>
        </w:rPr>
        <w:t xml:space="preserve">а)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се стреми да осигури подходящо участие на заинтересованите страни в подготвителния етап на мерките на SEAFO и да гарантира, че мерките, приети в рамките на SEAFO, са в съответствие с Конвенцията SEAFO;</w:t>
      </w:r>
    </w:p>
    <w:p>
      <w:pPr>
        <w:pStyle w:val="Point0"/>
        <w:rPr>
          <w:noProof/>
        </w:rPr>
      </w:pPr>
      <w:r>
        <w:rPr>
          <w:noProof/>
        </w:rPr>
        <w:t xml:space="preserve">в) </w:t>
      </w:r>
      <w:r>
        <w:rPr>
          <w:noProof/>
        </w:rPr>
        <w:tab/>
        <w:t>гарантира, че мерките, приети в рамките на SEAFO, са в съответствие с международното право, и по-специално с разпоредбите на Конвенцията на ООН от 1982 г. по морско право, Споразумението на ООН от 1995 г., отнасящо се до опазването и управлението на трансгранично преминаващите и далекомигриращите рибни запаси, Споразумението от 1993 г.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w:t>
      </w:r>
    </w:p>
    <w:p>
      <w:pPr>
        <w:pStyle w:val="Point0"/>
        <w:rPr>
          <w:noProof/>
        </w:rPr>
      </w:pPr>
      <w:r>
        <w:rPr>
          <w:noProof/>
        </w:rPr>
        <w:t xml:space="preserve">г) </w:t>
      </w:r>
      <w:r>
        <w:rPr>
          <w:noProof/>
        </w:rPr>
        <w:tab/>
        <w:t>насърчава позициите, съответстващи на най-добрите практики на регионалните организации за управление на рибарството (РОУР) в съответната зона;</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t xml:space="preserve">ж) </w:t>
      </w:r>
      <w:r>
        <w:rPr>
          <w:noProof/>
        </w:rPr>
        <w:tab/>
        <w:t>се придържа към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зоната на Конвенцията SEAFO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t xml:space="preserve">и) </w:t>
      </w:r>
      <w:r>
        <w:rPr>
          <w:noProof/>
        </w:rPr>
        <w:tab/>
        <w:t>се придържа към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 приносът на ЕС за отговорното управление на океаните“</w:t>
      </w:r>
      <w:r>
        <w:rPr>
          <w:rStyle w:val="FootnoteReference"/>
          <w:noProof/>
        </w:rPr>
        <w:footnoteReference w:id="2"/>
      </w:r>
      <w:r>
        <w:rPr>
          <w:noProof/>
        </w:rPr>
        <w:t>, и към заключенията на Съвета във връзка с това съвместно съобщение</w:t>
      </w:r>
      <w:r>
        <w:rPr>
          <w:rStyle w:val="FootnoteReference"/>
          <w:noProof/>
        </w:rPr>
        <w:footnoteReference w:id="3"/>
      </w:r>
      <w:r>
        <w:rPr>
          <w:noProof/>
        </w:rPr>
        <w:t>, и насърчава мерките за подпомагане и повишаване на ефективността на SEAFO и, когато е уместно, за подобряване на нейното управление и постиганите от нея резултати (по-специално по отношение на науката, спазването на приложимите разпоредби, прозрачността и вземането на решения);</w:t>
      </w:r>
    </w:p>
    <w:p>
      <w:pPr>
        <w:pStyle w:val="Point0"/>
        <w:rPr>
          <w:noProof/>
          <w:szCs w:val="24"/>
        </w:rPr>
      </w:pPr>
      <w:r>
        <w:rPr>
          <w:noProof/>
        </w:rPr>
        <w:t xml:space="preserve">й) </w:t>
      </w:r>
      <w:r>
        <w:rPr>
          <w:noProof/>
        </w:rPr>
        <w:tab/>
        <w:t xml:space="preserve">насърчава координацията между РОУР и регионалните морски конвенции, както и — когато е целесъобразно — сътрудничеството със световни организации в рамките на техните мандати; </w:t>
      </w:r>
    </w:p>
    <w:p>
      <w:pPr>
        <w:pStyle w:val="Point0"/>
        <w:rPr>
          <w:noProof/>
          <w:szCs w:val="24"/>
        </w:rPr>
      </w:pPr>
      <w:r>
        <w:rPr>
          <w:noProof/>
        </w:rPr>
        <w:t>к)</w:t>
      </w:r>
      <w:r>
        <w:rPr>
          <w:noProof/>
        </w:rPr>
        <w:tab/>
        <w:t>насърчава механизмите за сътрудничество между РОУР, отговарящи за улова на видове, различни от риба тон, които механизми са подобни на т.нар. „процес от Кобе“ по отношение на РОУР за рибата тон.</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SEAFO:</w:t>
      </w:r>
    </w:p>
    <w:p>
      <w:pPr>
        <w:pStyle w:val="Point0"/>
        <w:rPr>
          <w:noProof/>
        </w:rPr>
      </w:pPr>
      <w:r>
        <w:rPr>
          <w:noProof/>
        </w:rPr>
        <w:t xml:space="preserve">а) </w:t>
      </w:r>
      <w:r>
        <w:rPr>
          <w:noProof/>
        </w:rPr>
        <w:tab/>
        <w:t>мерки за опазване и управление на рибните ресурси в зоната на конвенцията въз основа на най-добрите налични научни становища, включително общ допустим улов и квоти или регулиране на усилието по отношение на живите морски биологични ресурси, регулирани от SEAFO, с които мерки ще може да се постигне устойчива експлоатация на нивата, на които се получава максимален устойчив улов, чрез постепенно и постъпателно нарастване най-късно до 2020 г. При необходимост трябва да бъдат разгледани специални мерки за запасите, които са подложени на прекомерен улов, за да се гарантира, че риболовното усилие отговаря на наличните възможности за риболов;</w:t>
      </w:r>
    </w:p>
    <w:p>
      <w:pPr>
        <w:pStyle w:val="Point0"/>
        <w:rPr>
          <w:noProof/>
        </w:rPr>
      </w:pPr>
      <w:r>
        <w:rPr>
          <w:noProof/>
        </w:rPr>
        <w:t xml:space="preserve">б) </w:t>
      </w:r>
      <w:r>
        <w:rPr>
          <w:noProof/>
        </w:rPr>
        <w:tab/>
        <w:t>мерки за предотвратяване, възпиране и премахване на незаконния, недеклариран и нерегулиран риболов в зоната на конвенцията, включително списък на корабите, извършващи такъв риболов;</w:t>
      </w:r>
    </w:p>
    <w:p>
      <w:pPr>
        <w:pStyle w:val="Point0"/>
        <w:rPr>
          <w:noProof/>
        </w:rPr>
      </w:pPr>
      <w:r>
        <w:rPr>
          <w:noProof/>
        </w:rPr>
        <w:t xml:space="preserve">в) </w:t>
      </w:r>
      <w:r>
        <w:rPr>
          <w:noProof/>
        </w:rPr>
        <w:tab/>
        <w:t>мерки за наблюдение, контрол и надзор в зоната на конвенцията с цел да се осигури ефективност на контрола и спазване на мерките, приети в рамките на SEAFO;</w:t>
      </w:r>
    </w:p>
    <w:p>
      <w:pPr>
        <w:pStyle w:val="Point0"/>
        <w:rPr>
          <w:noProof/>
        </w:rPr>
      </w:pPr>
      <w:r>
        <w:rPr>
          <w:noProof/>
        </w:rPr>
        <w:t xml:space="preserve">г) </w:t>
      </w:r>
      <w:r>
        <w:rPr>
          <w:noProof/>
        </w:rPr>
        <w:tab/>
        <w:t>мерки за максимално ограничаване на отрицателното въздействие на риболовните дейности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разнообразие и екосистемите, мерки за защита на уязвимите морски екосистеми в зоната на Конвенцията SEAFO в съответствие с Международните насоки на ФАО за управление на дълбоководния риболов в открито море, мерки за избягване и намаляване, доколкото е възможно, на нежелания улов, включително и по-специално на уязвимите морски видове, и мерки за постепенно премахване на изхвърлянето на улов;</w:t>
      </w:r>
    </w:p>
    <w:p>
      <w:pPr>
        <w:pStyle w:val="Point0"/>
        <w:rPr>
          <w:noProof/>
        </w:rPr>
      </w:pPr>
      <w:r>
        <w:rPr>
          <w:noProof/>
        </w:rPr>
        <w:t>д)</w:t>
      </w:r>
      <w:r>
        <w:rPr>
          <w:noProof/>
        </w:rPr>
        <w:tab/>
        <w:t>мерки за намаляване на въздействието на изоставените, изгубени или изхвърлени по друг начин риболовни уреди в океаните и за улесняване на идентифицирането и прибирането на тези уреди;</w:t>
      </w:r>
    </w:p>
    <w:p>
      <w:pPr>
        <w:pStyle w:val="Point0"/>
        <w:rPr>
          <w:noProof/>
        </w:rPr>
      </w:pPr>
      <w:r>
        <w:rPr>
          <w:noProof/>
        </w:rPr>
        <w:t xml:space="preserve">е) </w:t>
      </w:r>
      <w:r>
        <w:rPr>
          <w:noProof/>
        </w:rPr>
        <w:tab/>
        <w:t>мерки, с които се забранява риболовът, извършван единствено с цел добиване на перки от акули, и с които се изисква всички акули да бъдат разтоварвани с всичките си естествено прикрепени към трупа перки;</w:t>
      </w:r>
    </w:p>
    <w:p>
      <w:pPr>
        <w:pStyle w:val="Point0"/>
        <w:rPr>
          <w:noProof/>
        </w:rPr>
      </w:pPr>
      <w:r>
        <w:rPr>
          <w:noProof/>
        </w:rPr>
        <w:t>ж)</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з)</w:t>
      </w:r>
      <w:r>
        <w:rPr>
          <w:noProof/>
        </w:rPr>
        <w:tab/>
        <w:t>разработване, когато е целесъобразно, на съвместни подходи с други РОУР — по-специално с тези от тях, които участват в управлението на рибарството в същия регион;</w:t>
      </w:r>
    </w:p>
    <w:p>
      <w:pPr>
        <w:pStyle w:val="Point0"/>
        <w:rPr>
          <w:noProof/>
        </w:rPr>
      </w:pPr>
      <w:r>
        <w:rPr>
          <w:noProof/>
        </w:rPr>
        <w:t xml:space="preserve">и) </w:t>
      </w:r>
      <w:r>
        <w:rPr>
          <w:noProof/>
        </w:rPr>
        <w:tab/>
        <w:t>допълнителни технически мерки, основани на становища на спомагателните органи и работните групи на SEAFO.</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ПРИЛОЖЕНИЕ II</w:t>
      </w:r>
    </w:p>
    <w:p>
      <w:pPr>
        <w:jc w:val="center"/>
        <w:rPr>
          <w:rFonts w:eastAsia="Calibri"/>
          <w:b/>
          <w:noProof/>
          <w:szCs w:val="20"/>
          <w:u w:val="single"/>
        </w:rPr>
      </w:pPr>
      <w:r>
        <w:rPr>
          <w:b/>
          <w:noProof/>
          <w:u w:val="single"/>
        </w:rPr>
        <w:t>Ежегодно уточняване на позицията на Съюза, която трябва да се заеме</w:t>
      </w:r>
    </w:p>
    <w:p>
      <w:pPr>
        <w:jc w:val="center"/>
        <w:rPr>
          <w:rFonts w:eastAsia="Calibri"/>
          <w:b/>
          <w:noProof/>
          <w:szCs w:val="20"/>
          <w:u w:val="single"/>
        </w:rPr>
      </w:pPr>
      <w:r>
        <w:rPr>
          <w:b/>
          <w:noProof/>
          <w:u w:val="single"/>
        </w:rPr>
        <w:t xml:space="preserve">на заседанията на Организацията за риболова в Югоизточния Атлантически океан </w:t>
      </w:r>
    </w:p>
    <w:p>
      <w:pPr>
        <w:jc w:val="center"/>
        <w:rPr>
          <w:rFonts w:eastAsia="Calibri"/>
          <w:b/>
          <w:i/>
          <w:strike/>
          <w:noProof/>
          <w:szCs w:val="20"/>
          <w:u w:val="single"/>
        </w:rPr>
      </w:pPr>
    </w:p>
    <w:p>
      <w:pPr>
        <w:rPr>
          <w:rFonts w:eastAsia="Calibri"/>
          <w:noProof/>
          <w:szCs w:val="20"/>
        </w:rPr>
      </w:pPr>
      <w:r>
        <w:rPr>
          <w:noProof/>
        </w:rPr>
        <w:t>Преди всяко заседание на Комисията SEAFO, когато този орган има за задача да приема решения, които могат да станат обвързващи за Съюза, трябва да бъдат предприети необходимите действия, така че в позицията, която ще бъде изразена от името на Съюза, да бъде взета под внимание най-актуалната научна и друга важна информация, предадена на Европейската комисия,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Европейската комисия представя на Съвета или на подготвителните му органи достатъчно рано преди всяко заседание на Комисията SEAFO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rFonts w:eastAsia="Calibri"/>
          <w:noProof/>
          <w:szCs w:val="20"/>
        </w:rPr>
      </w:pPr>
      <w:r>
        <w:rPr>
          <w:noProof/>
        </w:rPr>
        <w:t>Ако по време на заседание на Комисията SEAFO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9E1B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CE37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4AE1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36AB88A"/>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34: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73AE86AC-D7FE-4EF9-A484-06F9C8F8DEFE"/>
    <w:docVar w:name="LW_COVERPAGE_TYPE" w:val="1"/>
    <w:docVar w:name="LW_CROSSREFERENCE" w:val="&lt;UNUSED&gt;"/>
    <w:docVar w:name="LW_DocType" w:val="ANNEX"/>
    <w:docVar w:name="LW_EMISSION" w:val="6.3.2019"/>
    <w:docVar w:name="LW_EMISSION_ISODATE" w:val="2019-03-06"/>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88?\u1075?\u1072?\u1085?\u1080?\u1079?\u1072?\u1094?\u1080?\u1103?\u1090?\u1072? \u1079?\u1072? \u1088?\u1080?\u1073?\u1086?\u1083?\u1086?\u1074?\u1072? \u1074? \u1070?\u1075?\u1086?\u1080?\u1079?\u1090?\u1086?\u1095?\u1085?\u1080?\u1103? \u1040?\u1090?\u1083?\u1072?\u1085?\u1090?\u1080?\u1095?\u1077?\u1089?\u1082?\u1080? \u1086?\u1082?\u1077?\u1072?\u1085?, \u1080? \u1079?\u1072? \u1086?\u1090?\u1084?\u1103?\u1085?\u1072? \u1085?\u1072? \u1056?\u1077?\u1096?\u1077?\u1085?\u1080?\u1077? 10127/14 \u1085?\u1072? \u1057?\u1098?\u1074?\u1077?\u1090?\u1072?"/>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88?\u1075?\u1072?\u1085?\u1080?\u1079?\u1072?\u1094?\u1080?\u1103?\u1090?\u1072? \u1079?\u1072? \u1088?\u1080?\u1073?\u1086?\u1083?\u1086?\u1074?\u1072? \u1074? \u1070?\u1075?\u1086?\u1080?\u1079?\u1090?\u1086?\u1095?\u1085?\u1080?\u1103? \u1040?\u1090?\u1083?\u1072?\u1085?\u1090?\u1080?\u1095?\u1077?\u1089?\u1082?\u1080? \u1086?\u1082?\u1077?\u1072?\u1085?, \u1080? \u1079?\u1072? \u1086?\u1090?\u1084?\u1103?\u1085?\u1072? \u1085?\u1072? \u1056?\u1077?\u1096?\u1077?\u1085?\u1080?\u1077? 10127/14 \u1085?\u1072? \u1057?\u1098?\u1074?\u1077?\u1090?\u1072?"/>
    <w:docVar w:name="LW_PART_NBR" w:val="&lt;UNUSED&gt;"/>
    <w:docVar w:name="LW_PART_NBR_TOTAL" w:val="&lt;UNUSED&gt;"/>
    <w:docVar w:name="LW_REF.INST.NEW" w:val="COM"/>
    <w:docVar w:name="LW_REF.INST.NEW_ADOPTED" w:val="final"/>
    <w:docVar w:name="LW_REF.INST.NEW_TEXT" w:val="(2019)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5</Pages>
  <Words>1160</Words>
  <Characters>6674</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MOLLEDO Luis (MARE)</dc:creator>
  <cp:lastModifiedBy>WES PDFC Administrator</cp:lastModifiedBy>
  <cp:revision>8</cp:revision>
  <dcterms:created xsi:type="dcterms:W3CDTF">2019-02-27T11:28:00Z</dcterms:created>
  <dcterms:modified xsi:type="dcterms:W3CDTF">2019-03-06T08:34:00Z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