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738A7E6E-5DA0-48A5-BA42-32EB7707E8FF" style="width:451.25pt;height:365.8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Style w:val="ManualHeading1"/>
        <w:rPr>
          <w:rFonts w:eastAsia="Arial Unicode MS"/>
          <w:noProof/>
        </w:rPr>
      </w:pPr>
      <w:r>
        <w:t>1.</w:t>
      </w:r>
      <w:r>
        <w:tab/>
      </w:r>
      <w:r>
        <w:rPr>
          <w:noProof/>
        </w:rPr>
        <w:t>Предмет на предложението</w:t>
      </w:r>
    </w:p>
    <w:p>
      <w:pPr>
        <w:autoSpaceDE w:val="0"/>
        <w:autoSpaceDN w:val="0"/>
        <w:adjustRightInd w:val="0"/>
        <w:spacing w:before="0" w:after="0"/>
        <w:rPr>
          <w:rFonts w:ascii="TimesNewRomanPSMT" w:hAnsi="TimesNewRomanPSMT" w:cs="TimesNewRomanPSMT"/>
          <w:noProof/>
          <w:szCs w:val="24"/>
        </w:rPr>
      </w:pPr>
      <w:r>
        <w:rPr>
          <w:noProof/>
        </w:rPr>
        <w:t>Настоящото предложение се отнася до решение за установяване на позицията, която трябва да се заеме от името на Съюза на заседанията на Организацията за опазване на сьомгата в Северния Атлантически океан (NASCO) за периода 2019—2023 г. във връзка с предвиденото приемане на мерки за опазване и управление.</w:t>
      </w:r>
    </w:p>
    <w:p>
      <w:pPr>
        <w:pStyle w:val="ManualHeading1"/>
        <w:rPr>
          <w:noProof/>
        </w:rPr>
      </w:pPr>
      <w:r>
        <w:t>2.</w:t>
      </w:r>
      <w:r>
        <w:tab/>
      </w:r>
      <w:r>
        <w:rPr>
          <w:noProof/>
        </w:rPr>
        <w:t>Контекст на предложението</w:t>
      </w:r>
    </w:p>
    <w:p>
      <w:pPr>
        <w:pStyle w:val="ManualHeading2"/>
        <w:rPr>
          <w:noProof/>
        </w:rPr>
      </w:pPr>
      <w:r>
        <w:t>2.1.</w:t>
      </w:r>
      <w:r>
        <w:tab/>
      </w:r>
      <w:r>
        <w:rPr>
          <w:noProof/>
        </w:rPr>
        <w:t>Конвенция за опазване на сьомгата в Северния Атлантически океан</w:t>
      </w:r>
    </w:p>
    <w:p>
      <w:pPr>
        <w:rPr>
          <w:noProof/>
        </w:rPr>
      </w:pPr>
      <w:r>
        <w:rPr>
          <w:noProof/>
        </w:rPr>
        <w:t>Целта на Конвенцията за опазване на сьомгата в Северния Атлантически океан (Конвенцията NASCO) е с учредяването на NASCO да се осигури опазването, възстановяването, размножаването и рационалното управление на запасите от дива атлантическа сьомга. Конвенцията влезе в сила на 1 октомври 1983 г.</w:t>
      </w:r>
    </w:p>
    <w:p>
      <w:pPr>
        <w:rPr>
          <w:noProof/>
        </w:rPr>
      </w:pPr>
      <w:r>
        <w:rPr>
          <w:noProof/>
        </w:rPr>
        <w:t>След одобряването на Конвенцията NASCO в съответствие с Решение 82/886/ЕО на Съвета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Съюзът стана страна по нея.</w:t>
      </w:r>
    </w:p>
    <w:p>
      <w:pPr>
        <w:pStyle w:val="ManualHeading2"/>
        <w:rPr>
          <w:noProof/>
        </w:rPr>
      </w:pPr>
      <w:r>
        <w:t>2.2.</w:t>
      </w:r>
      <w:r>
        <w:tab/>
      </w:r>
      <w:r>
        <w:rPr>
          <w:noProof/>
        </w:rPr>
        <w:t>Съвет на Организацията за опазване на сьомгата в Северния Атлантически океан</w:t>
      </w:r>
    </w:p>
    <w:p>
      <w:pPr>
        <w:rPr>
          <w:noProof/>
        </w:rPr>
      </w:pPr>
      <w:r>
        <w:rPr>
          <w:noProof/>
        </w:rPr>
        <w:t>Съветът NASCO, подпомаган от трите комисии NASCO (Северноамериканската комисия, Комисията за североизточната част на Атлантическия океан и Комисията за Западна Гренландия), е органът, учреден с Конвенцията NASCO, който отговаря за опазването, възстановяването, размножаването и рационалното управление на запасите от атлантическа сьомга посредством международно сътрудничество. Този орган приема мерки за опазване и управление, чиято цел е да се управляват рибните ресурси, попадащи в неговата област на компетентност.</w:t>
      </w:r>
    </w:p>
    <w:p>
      <w:pPr>
        <w:rPr>
          <w:rFonts w:eastAsia="Arial Unicode MS"/>
          <w:noProof/>
        </w:rPr>
      </w:pPr>
      <w:r>
        <w:rPr>
          <w:noProof/>
        </w:rPr>
        <w:t>Като член на Съвета NASCO и на две от неговите комисии (Комисията за североизточната част на Атлантическия океан и Комисията за Западна Гренландия) Съюзът има право на участие и право на глас. Съветът NASCO взема решенията си с единодушие.</w:t>
      </w:r>
    </w:p>
    <w:p>
      <w:pPr>
        <w:pStyle w:val="ManualHeading2"/>
        <w:rPr>
          <w:noProof/>
        </w:rPr>
      </w:pPr>
      <w:r>
        <w:t>2.3.</w:t>
      </w:r>
      <w:r>
        <w:tab/>
      </w:r>
      <w:r>
        <w:rPr>
          <w:noProof/>
        </w:rPr>
        <w:t>Решения на Съвета NASCO</w:t>
      </w:r>
    </w:p>
    <w:p>
      <w:pPr>
        <w:rPr>
          <w:rFonts w:eastAsia="Arial Unicode MS"/>
          <w:noProof/>
        </w:rPr>
      </w:pPr>
      <w:r>
        <w:rPr>
          <w:noProof/>
        </w:rPr>
        <w:t>Съветът NASCO има правомощието да приема мерки за опазване и изпълнение по отношение на рибарството в своята област на компетентност, като тези мерки са обвързващи за договарящите страни.</w:t>
      </w:r>
    </w:p>
    <w:p>
      <w:pPr>
        <w:rPr>
          <w:noProof/>
        </w:rPr>
      </w:pPr>
      <w:r>
        <w:rPr>
          <w:noProof/>
        </w:rPr>
        <w:t>В съответствие с член 13, параграф 2 от Конвенцията NASCO мерките влизат в сила 60 дни след датата, на която договарящите страни са били уведомени за тях от NASCO.</w:t>
      </w:r>
    </w:p>
    <w:p>
      <w:pPr>
        <w:pStyle w:val="ManualHeading1"/>
        <w:rPr>
          <w:rFonts w:eastAsia="Arial Unicode MS"/>
          <w:noProof/>
        </w:rPr>
      </w:pPr>
      <w:r>
        <w:t>3.</w:t>
      </w:r>
      <w:r>
        <w:tab/>
      </w:r>
      <w:r>
        <w:rPr>
          <w:noProof/>
        </w:rPr>
        <w:t>Позиция, която трябва да се заеме от името на Съюза</w:t>
      </w:r>
    </w:p>
    <w:p>
      <w:pPr>
        <w:rPr>
          <w:rFonts w:eastAsia="Times New Roman"/>
          <w:noProof/>
        </w:rPr>
      </w:pPr>
      <w:r>
        <w:rPr>
          <w:noProof/>
        </w:rPr>
        <w:t xml:space="preserve">Позицията, която трябва да се заеме от името на Съюза на годишните заседания на регионалните организации за управление на рибарството, понастоящем се определя съобразно двустепенен подход. С решение на Съвета се определят ръководните принципи и насоки на позицията на Съюза на многогодишна основа, която позиция </w:t>
      </w:r>
      <w:r>
        <w:rPr>
          <w:noProof/>
        </w:rPr>
        <w:lastRenderedPageBreak/>
        <w:t>впоследствие се коригира за всяко годишно заседание посредством неофициални документи на Комисията, предназначени за обсъждане в работната група на Съвета.</w:t>
      </w:r>
    </w:p>
    <w:p>
      <w:pPr>
        <w:rPr>
          <w:rFonts w:eastAsia="Times New Roman"/>
          <w:noProof/>
        </w:rPr>
      </w:pPr>
      <w:r>
        <w:rPr>
          <w:noProof/>
        </w:rPr>
        <w:t>По отношение на NASCO този подход се прилага с Решение 9450/1/14 REV 1 на Съвета от 19 май 2014 г., в което се определя позицията на Съюза в NASCO за периода 2014—2018 г. В решението се съдържат общите принципи и насоки, като същевременно се вземат предвид, доколкото е възможно, специфичните особености на NASCO. Наред с това, в съответствие с искането на държавите членки, в него е предвидена стандартната процедура за ежегодното определяне на позицията на Съюза.</w:t>
      </w:r>
    </w:p>
    <w:p>
      <w:pPr>
        <w:rPr>
          <w:rFonts w:eastAsia="Times New Roman"/>
          <w:noProof/>
        </w:rPr>
      </w:pPr>
      <w:r>
        <w:rPr>
          <w:noProof/>
        </w:rPr>
        <w:t>В Решение 9450/1/14 REV 1 се предвижда преразглеждане на позицията на Съюза преди годишното заседание през 2019 г. Следователно в настоящото предложение се определя позицията на Съюза в рамките на NASCO за периода 2019—2023 г., като то съответно заменя Решение 9450/1/14 REV 1.</w:t>
      </w:r>
    </w:p>
    <w:p>
      <w:pPr>
        <w:rPr>
          <w:rFonts w:eastAsia="Times New Roman"/>
          <w:noProof/>
        </w:rPr>
      </w:pPr>
      <w:r>
        <w:rPr>
          <w:noProof/>
        </w:rPr>
        <w:t>Решение 9450/1/14 REV 1 включва принципите и насоките на новата обща политика в областта на рибарството, определени в Регламент (ЕС) № 1380/2013 на Европейския парламент и на Съвета</w:t>
      </w:r>
      <w:r>
        <w:rPr>
          <w:rStyle w:val="FootnoteReference"/>
          <w:noProof/>
        </w:rPr>
        <w:footnoteReference w:id="2"/>
      </w:r>
      <w:r>
        <w:rPr>
          <w:noProof/>
        </w:rPr>
        <w:t>, като се вземат предвид и целите, формулирани в Съобщението на Комисията относно външното измерение на общата политика в областта на рибарството</w:t>
      </w:r>
      <w:r>
        <w:rPr>
          <w:rStyle w:val="FootnoteReference"/>
          <w:noProof/>
        </w:rPr>
        <w:footnoteReference w:id="3"/>
      </w:r>
      <w:r>
        <w:rPr>
          <w:noProof/>
        </w:rPr>
        <w:t>. Наред с това то привежда позицията на Съюза в съответствие с Договора от Лисабон.</w:t>
      </w:r>
    </w:p>
    <w:p>
      <w:pPr>
        <w:rPr>
          <w:noProof/>
        </w:rPr>
      </w:pPr>
      <w:r>
        <w:rPr>
          <w:noProof/>
        </w:rPr>
        <w:t>В настоящото преразглеждане се вземат предвид — във връзка с въздействието на риболова — съобщението на Комисията до Европейския парламент, Съвета, Европейския икономически и социален комитет и Комитета на регионите, озаглавено „Европейска стратегия за пластмасите в кръговата икономика“</w:t>
      </w:r>
      <w:r>
        <w:rPr>
          <w:rStyle w:val="FootnoteReference"/>
          <w:noProof/>
        </w:rPr>
        <w:footnoteReference w:id="4"/>
      </w:r>
      <w:r>
        <w:rPr>
          <w:noProof/>
        </w:rPr>
        <w:t>, съвместното съобщение на върховния представител на Съюза по въпросите на външните работи и политиката на сигурност и на Европейската комисия на тема „Международно управление на океаните: приносът на ЕС за отговорното управление на океаните“</w:t>
      </w:r>
      <w:r>
        <w:rPr>
          <w:rStyle w:val="FootnoteReference"/>
          <w:noProof/>
        </w:rPr>
        <w:footnoteReference w:id="5"/>
      </w:r>
      <w:r>
        <w:rPr>
          <w:noProof/>
        </w:rPr>
        <w:t xml:space="preserve"> и заключенията на Съвета във връзка с това съвместно съобщение</w:t>
      </w:r>
      <w:r>
        <w:rPr>
          <w:rStyle w:val="FootnoteReference"/>
          <w:noProof/>
        </w:rPr>
        <w:footnoteReference w:id="6"/>
      </w:r>
      <w:r>
        <w:rPr>
          <w:noProof/>
        </w:rPr>
        <w:t>.</w:t>
      </w:r>
    </w:p>
    <w:p>
      <w:pPr>
        <w:pStyle w:val="ManualHeading1"/>
        <w:rPr>
          <w:noProof/>
        </w:rPr>
      </w:pPr>
      <w:r>
        <w:t>4.</w:t>
      </w:r>
      <w:r>
        <w:tab/>
      </w:r>
      <w:r>
        <w:rPr>
          <w:noProof/>
        </w:rPr>
        <w:t>Правно основание</w:t>
      </w:r>
    </w:p>
    <w:p>
      <w:pPr>
        <w:pStyle w:val="ManualHeading2"/>
        <w:rPr>
          <w:noProof/>
        </w:rPr>
      </w:pPr>
      <w:r>
        <w:t>4.1.</w:t>
      </w:r>
      <w:r>
        <w:tab/>
      </w:r>
      <w:r>
        <w:rPr>
          <w:noProof/>
        </w:rPr>
        <w:t>Процесуалноправно основание</w:t>
      </w:r>
    </w:p>
    <w:p>
      <w:pPr>
        <w:pStyle w:val="ManualHeading3"/>
        <w:rPr>
          <w:noProof/>
        </w:rPr>
      </w:pPr>
      <w:r>
        <w:t>4.1.1.</w:t>
      </w:r>
      <w:r>
        <w:tab/>
      </w:r>
      <w:r>
        <w:rPr>
          <w:noProof/>
        </w:rPr>
        <w:t>Принципи</w:t>
      </w:r>
    </w:p>
    <w:p>
      <w:pPr>
        <w:rPr>
          <w:noProof/>
        </w:rPr>
      </w:pPr>
      <w:r>
        <w:rPr>
          <w:noProof/>
        </w:rPr>
        <w:t>В член 218, параграф 9 от Договора за функционирането на Европейския съюз (ДФЕС) се предвижда приемането на решения за установяване на „позициите, които трябва да се заемат от името на Съюза в рамките на орган, създаден със споразумение, когато този орган има за задача да приема актове с правно действие, с изключение на актовете за допълнение или изменение на институционалната рамка на споразумението“.</w:t>
      </w:r>
    </w:p>
    <w:p>
      <w:pPr>
        <w:rPr>
          <w:noProof/>
        </w:rPr>
      </w:pPr>
      <w:r>
        <w:rPr>
          <w:noProof/>
        </w:rPr>
        <w:t>Понятието „актове с правно действие“ включва актове с правно действие по силата на нормите на международното право, които уреждат дейността на съответния орган, и инструменти, които нямат обвързващ характер съгласно международното право, но са „годни да окажат съществено въздействие върху съдържанието на приеманата от законодателя на Съюза нормативна уредба“</w:t>
      </w:r>
      <w:r>
        <w:rPr>
          <w:rStyle w:val="FootnoteReference"/>
          <w:noProof/>
        </w:rPr>
        <w:footnoteReference w:id="7"/>
      </w:r>
      <w:r>
        <w:rPr>
          <w:noProof/>
        </w:rPr>
        <w:t>.</w:t>
      </w:r>
    </w:p>
    <w:p>
      <w:pPr>
        <w:pStyle w:val="ManualHeading3"/>
        <w:rPr>
          <w:noProof/>
        </w:rPr>
      </w:pPr>
      <w:r>
        <w:t>4.1.2.</w:t>
      </w:r>
      <w:r>
        <w:tab/>
      </w:r>
      <w:r>
        <w:rPr>
          <w:noProof/>
        </w:rPr>
        <w:t>Приложение в конкретния случай</w:t>
      </w:r>
    </w:p>
    <w:p>
      <w:pPr>
        <w:rPr>
          <w:noProof/>
        </w:rPr>
      </w:pPr>
      <w:r>
        <w:rPr>
          <w:noProof/>
        </w:rPr>
        <w:t>Съветът NASCO е орган, учреден по силата на споразумение — по-конкретно Конвенцията NASCO.</w:t>
      </w:r>
    </w:p>
    <w:p>
      <w:pPr>
        <w:rPr>
          <w:noProof/>
        </w:rPr>
      </w:pPr>
      <w:r>
        <w:rPr>
          <w:noProof/>
        </w:rPr>
        <w:t>Актовете, които Съветът NASCO има за задача да приеме, представляват актове с правно действие. Предвидените актове ще бъдат обвързващи съгласно международното право в съответствие с член 13 от Конвенцията NASCO и могат да окажат съществено въздействие върху съдържанието на законодателството на Съюза, в това число:</w:t>
      </w:r>
    </w:p>
    <w:p>
      <w:pPr>
        <w:pStyle w:val="Bullet0"/>
        <w:numPr>
          <w:ilvl w:val="0"/>
          <w:numId w:val="12"/>
        </w:numPr>
        <w:rPr>
          <w:noProof/>
        </w:rPr>
      </w:pPr>
      <w:r>
        <w:rPr>
          <w:noProof/>
        </w:rPr>
        <w:t>Регламент (ЕО) № 1005/2008 на Съвета за създаване на система на Общността за предотвратяване, възпиране и премахване на незаконния, недеклариран и нерегулиран риболов</w:t>
      </w:r>
      <w:r>
        <w:rPr>
          <w:rStyle w:val="FootnoteReference"/>
          <w:noProof/>
        </w:rPr>
        <w:footnoteReference w:id="8"/>
      </w:r>
      <w:r>
        <w:rPr>
          <w:noProof/>
        </w:rPr>
        <w:t xml:space="preserve">; </w:t>
      </w:r>
    </w:p>
    <w:p>
      <w:pPr>
        <w:pStyle w:val="Bullet0"/>
        <w:rPr>
          <w:noProof/>
        </w:rPr>
      </w:pPr>
      <w:r>
        <w:rPr>
          <w:noProof/>
        </w:rPr>
        <w:t>Регламент (ЕО) № 1224/2009 на Съвета за създаване на система за контрол на Общността за гарантиране на спазването на правилата на общата политика в областта на рибарството</w:t>
      </w:r>
      <w:r>
        <w:rPr>
          <w:rStyle w:val="FootnoteReference"/>
          <w:noProof/>
        </w:rPr>
        <w:footnoteReference w:id="9"/>
      </w:r>
      <w:r>
        <w:rPr>
          <w:noProof/>
        </w:rPr>
        <w:t xml:space="preserve">; и </w:t>
      </w:r>
    </w:p>
    <w:p>
      <w:pPr>
        <w:pStyle w:val="Bullet0"/>
        <w:rPr>
          <w:noProof/>
        </w:rPr>
      </w:pPr>
      <w:r>
        <w:rPr>
          <w:noProof/>
        </w:rPr>
        <w:t>Регламент (ЕС) 2017/2403 на Европейския парламент и на Съвета от 12 декември 2017 г. относно устойчивото управление на външните риболовни флотове</w:t>
      </w:r>
      <w:r>
        <w:rPr>
          <w:rStyle w:val="FootnoteReference"/>
          <w:noProof/>
        </w:rPr>
        <w:footnoteReference w:id="10"/>
      </w:r>
      <w:r>
        <w:rPr>
          <w:noProof/>
        </w:rPr>
        <w:t>.</w:t>
      </w:r>
    </w:p>
    <w:p>
      <w:pPr>
        <w:rPr>
          <w:noProof/>
        </w:rPr>
      </w:pPr>
      <w:r>
        <w:rPr>
          <w:noProof/>
        </w:rPr>
        <w:t>Предвидените актове не допълват, нито изменят институционалната рамка на Конвенцията NASCO.</w:t>
      </w:r>
    </w:p>
    <w:p>
      <w:pPr>
        <w:rPr>
          <w:noProof/>
        </w:rPr>
      </w:pPr>
      <w:r>
        <w:rPr>
          <w:noProof/>
        </w:rPr>
        <w:t>Поради това процесуалноправното основание за предложеното решение е член 218, параграф 9 от ДФЕС.</w:t>
      </w:r>
    </w:p>
    <w:p>
      <w:pPr>
        <w:pStyle w:val="ManualHeading2"/>
        <w:rPr>
          <w:noProof/>
        </w:rPr>
      </w:pPr>
      <w:r>
        <w:t>4.2.</w:t>
      </w:r>
      <w:r>
        <w:tab/>
      </w:r>
      <w:r>
        <w:rPr>
          <w:noProof/>
        </w:rPr>
        <w:t>Материалноправно основание</w:t>
      </w:r>
    </w:p>
    <w:p>
      <w:pPr>
        <w:pStyle w:val="ManualHeading3"/>
        <w:rPr>
          <w:noProof/>
        </w:rPr>
      </w:pPr>
      <w:r>
        <w:t>4.2.1.</w:t>
      </w:r>
      <w:r>
        <w:tab/>
      </w:r>
      <w:r>
        <w:rPr>
          <w:noProof/>
        </w:rPr>
        <w:t>Принципи</w:t>
      </w:r>
    </w:p>
    <w:p>
      <w:pPr>
        <w:rPr>
          <w:noProof/>
        </w:rPr>
      </w:pPr>
      <w:r>
        <w:rPr>
          <w:noProof/>
        </w:rPr>
        <w:t>Материалноправното основание за дадено решение съгласно член 218, параграф 9 от ДФЕС зависи преди всичко от целта и съдържанието на предвидения акт, във връзка с който се заема позиция от името на Съюза. Ако актът преследва две цели или се състои от две части и ако едната от целите или частите може да се определи като основна, докато другата е само акцесорна, решението съгласно член 218, параграф 9 от ДФЕС трябва да се основава на едно-единствено материалноправно основание, а именно на изискваното от основната или преобладаващата цел или част.</w:t>
      </w:r>
    </w:p>
    <w:p>
      <w:pPr>
        <w:pStyle w:val="ManualHeading3"/>
        <w:rPr>
          <w:noProof/>
        </w:rPr>
      </w:pPr>
      <w:r>
        <w:t>4.2.2.</w:t>
      </w:r>
      <w:r>
        <w:tab/>
      </w:r>
      <w:r>
        <w:rPr>
          <w:noProof/>
        </w:rPr>
        <w:t>Приложение в конкретния случай</w:t>
      </w:r>
    </w:p>
    <w:p>
      <w:pPr>
        <w:rPr>
          <w:noProof/>
        </w:rPr>
      </w:pPr>
      <w:r>
        <w:rPr>
          <w:noProof/>
        </w:rPr>
        <w:t>Основната цел и съдържанието на предвидения акт са свързани с рибарството. Правното основание при определяне на принципите, които трябва да бъдат отразени в настоящата позиция, е Регламент (ЕС) № 1380/2013.</w:t>
      </w:r>
    </w:p>
    <w:p>
      <w:pPr>
        <w:rPr>
          <w:noProof/>
        </w:rPr>
      </w:pPr>
      <w:r>
        <w:rPr>
          <w:noProof/>
        </w:rPr>
        <w:t>Поради това материалноправното основание за предложеното решение е член 43, параграф 2 от ДФЕС. С решението се заменя Решение 9450/1/14 REV 1, което се отнася за периода 2014—2018 г.</w:t>
      </w:r>
    </w:p>
    <w:p>
      <w:pPr>
        <w:pStyle w:val="ManualHeading2"/>
        <w:rPr>
          <w:noProof/>
        </w:rPr>
      </w:pPr>
      <w:r>
        <w:t>4.3.</w:t>
      </w:r>
      <w:r>
        <w:tab/>
      </w:r>
      <w:r>
        <w:rPr>
          <w:noProof/>
        </w:rPr>
        <w:t>Заключение</w:t>
      </w:r>
    </w:p>
    <w:p>
      <w:pPr>
        <w:rPr>
          <w:noProof/>
        </w:rPr>
      </w:pPr>
      <w:r>
        <w:rPr>
          <w:noProof/>
        </w:rPr>
        <w:t>Правното основание за предложеното решение следва да бъде член 43, параграф 2 от Договора за функционирането на Европейския съюз във връзка с член 218, параграф 9 от него.</w:t>
      </w:r>
    </w:p>
    <w:p>
      <w:pPr>
        <w:rPr>
          <w:noProof/>
        </w:rPr>
        <w:sectPr>
          <w:footerReference w:type="default" r:id="rId16"/>
          <w:footerReference w:type="first" r:id="rId17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t>2019/0052 (NLE)</w:t>
      </w: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>
      <w:pPr>
        <w:pStyle w:val="Titreobjet"/>
        <w:rPr>
          <w:noProof/>
        </w:rPr>
      </w:pPr>
      <w:r>
        <w:rPr>
          <w:noProof/>
        </w:rPr>
        <w:t>относно позицията, която трябва да се заеме от името на Европейския съюз в рамките на Организацията за опазване на сьомгата в Северния Атлантически океан (NASCO), и за отмяна на Решение 9450/1/14 REV 1</w:t>
      </w:r>
    </w:p>
    <w:p>
      <w:pPr>
        <w:pStyle w:val="Institutionquiagit"/>
        <w:rPr>
          <w:b/>
          <w:noProof/>
        </w:rPr>
      </w:pPr>
      <w:r>
        <w:rPr>
          <w:b/>
          <w:noProof/>
        </w:rPr>
        <w:t>СЪВЕТЪТ НА ЕВРОПЕЙСКИЯ СЪЮЗ,</w:t>
      </w:r>
    </w:p>
    <w:p>
      <w:pPr>
        <w:rPr>
          <w:noProof/>
        </w:rPr>
      </w:pPr>
      <w:r>
        <w:rPr>
          <w:noProof/>
        </w:rPr>
        <w:t>като взе предвид Договора за функционирането на Европейския съюз, и по-специално член 43, параграф 2 във връзка с член 218, параграф 9 от него,</w:t>
      </w:r>
    </w:p>
    <w:p>
      <w:pPr>
        <w:rPr>
          <w:noProof/>
        </w:rPr>
      </w:pPr>
      <w:r>
        <w:rPr>
          <w:noProof/>
        </w:rPr>
        <w:t>като взе предвид предложението на Европейската комисия,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>С Решение (ЕО) № 886/82 на Съвета</w:t>
      </w:r>
      <w:r>
        <w:rPr>
          <w:rStyle w:val="FootnoteReference"/>
          <w:noProof/>
        </w:rPr>
        <w:footnoteReference w:id="11"/>
      </w:r>
      <w:r>
        <w:rPr>
          <w:noProof/>
        </w:rPr>
        <w:t xml:space="preserve"> Европейската общност сключи Конвенцията за опазване на сьомгата в Северния Атлантически океан (Конвенцията NASCO), с която се учредява Организацията за опазване на сьомгата в Северния Атлантически океан (NASCO).</w:t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>Съветът NASCO, подпомаган от трите комисии NASCO (Северноамериканската комисия, Комисията за североизточната част на Атлантическия океан и Комисията за Западна Гренландия), е органът, учреден с Конвенцията NASCO, който отговаря за опазването, възстановяването, размножаването и рационалното управление на запасите от атлантическа сьомга посредством международно сътрудничество. Съветът NASCO приема мерки за опазване и управление, чиято цел е да се управляват рибните ресурси, попадащи в неговата област на компетентност. Мерките могат да придобият обвързващ характер по отношение на Съюза.</w:t>
      </w:r>
    </w:p>
    <w:p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>В Регламент (ЕС) № 1380/2013 на Европейския парламент и на Съвета</w:t>
      </w:r>
      <w:r>
        <w:rPr>
          <w:rStyle w:val="FootnoteReference"/>
          <w:noProof/>
        </w:rPr>
        <w:footnoteReference w:id="12"/>
      </w:r>
      <w:r>
        <w:rPr>
          <w:noProof/>
        </w:rPr>
        <w:t xml:space="preserve"> се предвижда задължение за Съюза да гарантира, че дейностите, свързани с риболова и аквакултурите, са екологично устойчиви в дългосрочен план и се управляват по начин, който съответства на целите за постигане на икономически и социални ползи и ползи за заетостта, както и за осигуряване на продоволственото снабдяване. В него също така се посочва, че Съюзът трябва да прилага подхода на предпазливост към управлението на рибарството, като целта е да се гарантира, че експлоатацията на живите морски биологични ресурси осигурява възстановяването и поддържането на популациите на улавяните видове над нивата, позволяващи максимален устойчив улов. Наред с това в регламента се предвижда задължение за Съюза да предприема мерки за опазване и управление въз основа на най-добрите налични научни становища, да оказва подкрепа при развитието на научните познания и становища, постепенно да премахне изхвърлянето на улов и да насърчава методи за риболов, които допринасят за по-селективен риболов, за избягване и, доколкото е възможно, за намаляване на нежелания улов, както и за риболов, който има слабо въздействие върху морските екосистеми и рибните ресурси. В Регламент (ЕС) № 1380/2013 също така изрично се предвижда, че Съюзът трябва да прилага тези цели и принципи при осъществяването на своите външни отношения в областта на рибарството.</w:t>
      </w:r>
    </w:p>
    <w:p>
      <w:pPr>
        <w:pStyle w:val="ManualConsidrant"/>
        <w:rPr>
          <w:noProof/>
        </w:rPr>
      </w:pPr>
      <w:r>
        <w:t>(4)</w:t>
      </w:r>
      <w:r>
        <w:tab/>
      </w:r>
      <w:r>
        <w:rPr>
          <w:noProof/>
        </w:rPr>
        <w:t>Както се посочва в съвместното съобщение на върховния представител на Съюза по въпросите на външните работи и политиката на сигурност и на Европейската комисия, озаглавено „Международно управление на океаните: приносът на ЕС за отговорното управление на океаните“</w:t>
      </w:r>
      <w:r>
        <w:rPr>
          <w:rStyle w:val="FootnoteReference"/>
          <w:noProof/>
        </w:rPr>
        <w:footnoteReference w:id="13"/>
      </w:r>
      <w:r>
        <w:rPr>
          <w:noProof/>
        </w:rPr>
        <w:t>, и в заключенията на Съвета във връзка с това съвместно съобщение</w:t>
      </w:r>
      <w:r>
        <w:rPr>
          <w:rStyle w:val="FootnoteReference"/>
          <w:noProof/>
        </w:rPr>
        <w:footnoteReference w:id="14"/>
      </w:r>
      <w:r>
        <w:rPr>
          <w:noProof/>
        </w:rPr>
        <w:t>, насърчаването на мерките за подкрепа и повишаване на ефективността на регионалните организации за управление на рибарството и, когато е уместно, за подобряване на тяхното управление са в центъра на действието на ЕС в рамките на тези форуми.</w:t>
      </w:r>
    </w:p>
    <w:p>
      <w:pPr>
        <w:pStyle w:val="ManualConsidrant"/>
        <w:rPr>
          <w:noProof/>
        </w:rPr>
      </w:pPr>
      <w:r>
        <w:t>(5)</w:t>
      </w:r>
      <w:r>
        <w:tab/>
      </w:r>
      <w:r>
        <w:rPr>
          <w:noProof/>
        </w:rPr>
        <w:t>В съобщението на Комисията до Европейския парламент, Съвета, Европейския икономически и социален комитет и Комитета на регионите, озаглавено „Европейска стратегия за пластмасите в кръговата икономика“</w:t>
      </w:r>
      <w:r>
        <w:rPr>
          <w:rStyle w:val="FootnoteReference"/>
          <w:noProof/>
        </w:rPr>
        <w:footnoteReference w:id="15"/>
      </w:r>
      <w:r>
        <w:rPr>
          <w:noProof/>
        </w:rPr>
        <w:t>, се посочват конкретни мерки за намаляване на отпадъците от пластмаси и замърсяването на морската среда, както и за ограничаване на случаите на загуба или изоставяне на риболовни уреди в морето.</w:t>
      </w:r>
    </w:p>
    <w:p>
      <w:pPr>
        <w:pStyle w:val="ManualConsidrant"/>
        <w:rPr>
          <w:noProof/>
        </w:rPr>
      </w:pPr>
      <w:r>
        <w:t>(6)</w:t>
      </w:r>
      <w:r>
        <w:tab/>
      </w:r>
      <w:r>
        <w:rPr>
          <w:noProof/>
        </w:rPr>
        <w:t>Целесъобразно е да се установи позицията, която трябва да се заеме от името на Съюза на заседанията на Съвета NASCO, тъй като мерките на NASCO за опазване и изпълнение ще бъдат обвързващи за Съюза и могат да окажат съществено въздействие върху съдържанието на неговото законодателство, а именно: Регламент (ЕО) № 1005/2008 на Съвета</w:t>
      </w:r>
      <w:r>
        <w:rPr>
          <w:rStyle w:val="FootnoteReference"/>
          <w:noProof/>
        </w:rPr>
        <w:footnoteReference w:id="16"/>
      </w:r>
      <w:r>
        <w:rPr>
          <w:noProof/>
        </w:rPr>
        <w:t>, Регламент (ЕО) № 1224/2009 на Съвета</w:t>
      </w:r>
      <w:r>
        <w:rPr>
          <w:rStyle w:val="FootnoteReference"/>
          <w:noProof/>
        </w:rPr>
        <w:footnoteReference w:id="17"/>
      </w:r>
      <w:r>
        <w:rPr>
          <w:noProof/>
        </w:rPr>
        <w:t xml:space="preserve"> и Регламент (ЕС) 2017/2403 на Европейския парламент и на Съвета</w:t>
      </w:r>
      <w:r>
        <w:rPr>
          <w:rStyle w:val="FootnoteReference"/>
          <w:noProof/>
        </w:rPr>
        <w:footnoteReference w:id="18"/>
      </w:r>
      <w:r>
        <w:rPr>
          <w:noProof/>
        </w:rPr>
        <w:t>.</w:t>
      </w:r>
    </w:p>
    <w:p>
      <w:pPr>
        <w:pStyle w:val="ManualConsidrant"/>
        <w:rPr>
          <w:noProof/>
        </w:rPr>
      </w:pPr>
      <w:r>
        <w:t>(7)</w:t>
      </w:r>
      <w:r>
        <w:tab/>
      </w:r>
      <w:r>
        <w:rPr>
          <w:noProof/>
        </w:rPr>
        <w:t>Позицията, която трябва да се заеме от името на Съюза на заседанията на Съвета NASCO, понастоящем е установена с Решение 9450/1/14 REV 1 на Съвета</w:t>
      </w:r>
      <w:r>
        <w:rPr>
          <w:rStyle w:val="FootnoteReference"/>
          <w:noProof/>
        </w:rPr>
        <w:footnoteReference w:id="19"/>
      </w:r>
      <w:r>
        <w:rPr>
          <w:noProof/>
        </w:rPr>
        <w:t>. Целесъобразно е Решение 9450/1/14 REV 1 да се отмени и да се замени с ново решение за периода 2019—2023 г.</w:t>
      </w:r>
    </w:p>
    <w:p>
      <w:pPr>
        <w:pStyle w:val="ManualConsidrant"/>
        <w:rPr>
          <w:noProof/>
        </w:rPr>
      </w:pPr>
      <w:r>
        <w:t>(8)</w:t>
      </w:r>
      <w:r>
        <w:tab/>
      </w:r>
      <w:r>
        <w:rPr>
          <w:noProof/>
        </w:rPr>
        <w:t>Предвид изменящия се характер на рибните ресурси в зоната на Конвенцията NASCO и произтичащата от това необходимост в позицията на Съюза да бъдат взети под внимание някои нови обстоятелства, включително новата научна и друга важна информация, представена преди или по време на заседанията на NASCO, следва да бъдат установени процедури във връзка с ежегодното уточняване на позицията на Съюза за периода 2019—2023 г., които са съобразени с принципа на лоялно сътрудничество между институциите на Съюза, залегнал в член 13, параграф 2 от Договора за Европейския съюз,</w:t>
      </w:r>
    </w:p>
    <w:p>
      <w:pPr>
        <w:pStyle w:val="Formuledadoption"/>
        <w:rPr>
          <w:noProof/>
        </w:rPr>
      </w:pPr>
      <w:r>
        <w:rPr>
          <w:noProof/>
        </w:rPr>
        <w:t>ПРИЕ НАСТОЯЩОТО РЕШЕНИЕ:</w:t>
      </w:r>
    </w:p>
    <w:p>
      <w:pPr>
        <w:pStyle w:val="Titrearticle"/>
        <w:rPr>
          <w:noProof/>
        </w:rPr>
      </w:pPr>
      <w:r>
        <w:rPr>
          <w:noProof/>
        </w:rPr>
        <w:t>Член 1</w:t>
      </w:r>
    </w:p>
    <w:p>
      <w:pPr>
        <w:autoSpaceDE w:val="0"/>
        <w:autoSpaceDN w:val="0"/>
        <w:adjustRightInd w:val="0"/>
        <w:spacing w:before="0" w:after="0"/>
        <w:rPr>
          <w:noProof/>
        </w:rPr>
      </w:pPr>
      <w:r>
        <w:rPr>
          <w:noProof/>
        </w:rPr>
        <w:t>Позицията, която трябва да се заеме от името на Съюза на заседанията на Съвета на Организацията за опазване на сьомгата в Северния Атлантически океан (NASCO), е определена в приложение I.</w:t>
      </w:r>
    </w:p>
    <w:p>
      <w:pPr>
        <w:pStyle w:val="Titrearticle"/>
        <w:rPr>
          <w:noProof/>
        </w:rPr>
      </w:pPr>
      <w:r>
        <w:rPr>
          <w:noProof/>
        </w:rPr>
        <w:t>Член 2</w:t>
      </w:r>
    </w:p>
    <w:p>
      <w:pPr>
        <w:autoSpaceDE w:val="0"/>
        <w:autoSpaceDN w:val="0"/>
        <w:adjustRightInd w:val="0"/>
        <w:spacing w:before="0" w:after="0"/>
        <w:rPr>
          <w:noProof/>
          <w:szCs w:val="24"/>
        </w:rPr>
      </w:pPr>
      <w:r>
        <w:rPr>
          <w:noProof/>
        </w:rPr>
        <w:t>Ежегодното уточняване на позицията на Съюза, която трябва да се заеме на заседанията на Съвета NASCO, се извършва в съответствие с приложение II.</w:t>
      </w:r>
    </w:p>
    <w:p>
      <w:pPr>
        <w:pStyle w:val="Titrearticle"/>
        <w:rPr>
          <w:noProof/>
        </w:rPr>
      </w:pPr>
      <w:r>
        <w:rPr>
          <w:noProof/>
        </w:rPr>
        <w:t>Член 3</w:t>
      </w:r>
    </w:p>
    <w:p>
      <w:pPr>
        <w:rPr>
          <w:noProof/>
        </w:rPr>
      </w:pPr>
      <w:r>
        <w:rPr>
          <w:noProof/>
        </w:rPr>
        <w:t>Позицията на Съюза, определена в приложение I, се оценява и при необходимост се преразглежда от Съвета по предложение на Комисията най-късно за годишното заседание на Съвета NASCO през 2024 г.</w:t>
      </w:r>
    </w:p>
    <w:p>
      <w:pPr>
        <w:pStyle w:val="Titrearticle"/>
        <w:rPr>
          <w:noProof/>
        </w:rPr>
      </w:pPr>
      <w:r>
        <w:rPr>
          <w:noProof/>
        </w:rPr>
        <w:t>Член 4</w:t>
      </w:r>
    </w:p>
    <w:p>
      <w:pPr>
        <w:autoSpaceDE w:val="0"/>
        <w:autoSpaceDN w:val="0"/>
        <w:adjustRightInd w:val="0"/>
        <w:spacing w:before="0" w:after="0"/>
        <w:rPr>
          <w:noProof/>
          <w:szCs w:val="24"/>
        </w:rPr>
      </w:pPr>
      <w:r>
        <w:rPr>
          <w:noProof/>
        </w:rPr>
        <w:t>Решение 9450/1/14 REV 1 от 19 май 2014 г. се отменя.</w:t>
      </w:r>
    </w:p>
    <w:p>
      <w:pPr>
        <w:pStyle w:val="Titrearticle"/>
        <w:rPr>
          <w:noProof/>
        </w:rPr>
      </w:pPr>
      <w:r>
        <w:rPr>
          <w:noProof/>
        </w:rPr>
        <w:t>Член 5</w:t>
      </w:r>
    </w:p>
    <w:p>
      <w:pPr>
        <w:autoSpaceDE w:val="0"/>
        <w:autoSpaceDN w:val="0"/>
        <w:adjustRightInd w:val="0"/>
        <w:spacing w:before="0" w:after="0"/>
        <w:rPr>
          <w:noProof/>
          <w:szCs w:val="24"/>
        </w:rPr>
      </w:pPr>
      <w:r>
        <w:rPr>
          <w:noProof/>
        </w:rPr>
        <w:t>Адресат на настоящото решение е Комисията.</w:t>
      </w:r>
    </w:p>
    <w:p>
      <w:pPr>
        <w:pStyle w:val="Fait"/>
        <w:rPr>
          <w:noProof/>
        </w:rPr>
      </w:pPr>
      <w:r>
        <w:t xml:space="preserve">Съставено в Брюксел на </w:t>
      </w:r>
      <w:r>
        <w:rPr>
          <w:rStyle w:val="Marker"/>
        </w:rPr>
        <w:t>[…]</w:t>
      </w:r>
      <w:r>
        <w:t xml:space="preserve">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7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ind w:left="709" w:hanging="709"/>
      </w:pPr>
      <w:r>
        <w:rPr>
          <w:rStyle w:val="FootnoteReference"/>
        </w:rPr>
        <w:footnoteRef/>
      </w:r>
      <w:r>
        <w:tab/>
      </w:r>
      <w:r>
        <w:rPr>
          <w:sz w:val="20"/>
        </w:rPr>
        <w:t>Решение 82/886/ЕИО на Съвета от 13 декември 1982 г. относно подписването на Конвенцията за опазване на сьомгата в Северния Атлантически океан (ОВ L 378, 31.12.1982 г., стр. 24).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>Регламент (ЕС) № 1380/2013 на Европейския парламент и на Съвета относно общата политика в областта на рибарството, за изменение на регламенти (ЕО) № 1954/2003 и (ЕО) № 1224/2009 на Съвета и за отмяна на регламенти (ЕО) № 2371/2002 и (ЕО) № 639/2004 на Съвета и Решение 2004/585/ЕО на Съвета (ОВ L 354, 28.12.2013 г., стр. 22).</w:t>
      </w:r>
    </w:p>
  </w:footnote>
  <w:footnote w:id="3">
    <w:p>
      <w:pPr>
        <w:pStyle w:val="FootnoteText"/>
        <w:rPr>
          <w:lang w:val="pt-PT"/>
        </w:rPr>
      </w:pPr>
      <w:r>
        <w:rPr>
          <w:rStyle w:val="FootnoteReference"/>
        </w:rPr>
        <w:footnoteRef/>
      </w:r>
      <w:r>
        <w:tab/>
        <w:t>COM(2011) 424, 13.7.2011 г.</w:t>
      </w:r>
    </w:p>
  </w:footnote>
  <w:footnote w:id="4">
    <w:p>
      <w:pPr>
        <w:pStyle w:val="FootnoteText"/>
        <w:rPr>
          <w:lang w:val="pt-PT"/>
        </w:rPr>
      </w:pPr>
      <w:r>
        <w:rPr>
          <w:rStyle w:val="FootnoteReference"/>
        </w:rPr>
        <w:footnoteRef/>
      </w:r>
      <w:r>
        <w:tab/>
        <w:t>COM(2018) 28 final, 16.1.2018 г.</w:t>
      </w:r>
    </w:p>
  </w:footnote>
  <w:footnote w:id="5">
    <w:p>
      <w:pPr>
        <w:pStyle w:val="FootnoteText"/>
      </w:pPr>
      <w:r>
        <w:rPr>
          <w:rStyle w:val="FootnoteReference"/>
        </w:rPr>
        <w:footnoteRef/>
      </w:r>
      <w:r>
        <w:tab/>
        <w:t>JOIN(2016) 49 final, 10.11.2016 г.</w:t>
      </w:r>
    </w:p>
  </w:footnote>
  <w:footnote w:id="6">
    <w:p>
      <w:pPr>
        <w:pStyle w:val="FootnoteText"/>
      </w:pPr>
      <w:r>
        <w:rPr>
          <w:rStyle w:val="FootnoteReference"/>
        </w:rPr>
        <w:footnoteRef/>
      </w:r>
      <w:r>
        <w:tab/>
        <w:t>7348/1/17 REV 1, 24.3.2017 г.</w:t>
      </w:r>
    </w:p>
  </w:footnote>
  <w:footnote w:id="7">
    <w:p>
      <w:pPr>
        <w:pStyle w:val="FootnoteText"/>
      </w:pPr>
      <w:r>
        <w:rPr>
          <w:rStyle w:val="FootnoteReference"/>
        </w:rPr>
        <w:footnoteRef/>
      </w:r>
      <w:r>
        <w:tab/>
        <w:t>Решение на Съда на Европейския съюз от 7 октомври 2014 г., Германия/Съвет, C-399/12, ECLI:EU:C:2014:2258, т. 61—64.</w:t>
      </w:r>
    </w:p>
  </w:footnote>
  <w:footnote w:id="8">
    <w:p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tab/>
        <w:t>ОВ L 286, 29.10.2008 г., стр. 1.</w:t>
      </w:r>
    </w:p>
  </w:footnote>
  <w:footnote w:id="9">
    <w:p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tab/>
        <w:t>ОВ L 343, 22.12.2009 г., стр. 1.</w:t>
      </w:r>
    </w:p>
  </w:footnote>
  <w:footnote w:id="10">
    <w:p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tab/>
        <w:t>ОВ L 347, 28.12.2017 г., стр. 81.</w:t>
      </w:r>
    </w:p>
  </w:footnote>
  <w:footnote w:id="11">
    <w:p>
      <w:pPr>
        <w:pStyle w:val="FootnoteText"/>
      </w:pPr>
      <w:r>
        <w:rPr>
          <w:rStyle w:val="FootnoteReference"/>
        </w:rPr>
        <w:footnoteRef/>
      </w:r>
      <w:r>
        <w:tab/>
        <w:t>Решение на Съвета от 13 декември 1982 г. относно подписването на Конвенцията за опазване на сьомгата в Северния Атлантически океан (ОВ L 378, 31.12.1982 г., стр. 24).</w:t>
      </w:r>
    </w:p>
  </w:footnote>
  <w:footnote w:id="12">
    <w:p>
      <w:pPr>
        <w:pStyle w:val="FootnoteText"/>
      </w:pPr>
      <w:r>
        <w:rPr>
          <w:rStyle w:val="FootnoteReference"/>
        </w:rPr>
        <w:footnoteRef/>
      </w:r>
      <w:r>
        <w:tab/>
        <w:t>Регламент (ЕС) № 1380/2013 на Европейския парламент и на Съвета от 11 декември 2013 г. относно общата политика в областта на рибарството, за изменение на регламенти (ЕО) № 1954/2003 и (ЕО) № 1224/2009 на Съвета и за отмяна на регламенти (ЕО) № 2371/2002 и (ЕО) № 639/2004 на Съвета и Решение 2004/585/ЕО на Съвета (ОВ L 354, 28.12.2013 г., стр. 22).</w:t>
      </w:r>
    </w:p>
  </w:footnote>
  <w:footnote w:id="13">
    <w:p>
      <w:pPr>
        <w:pStyle w:val="FootnoteText"/>
      </w:pPr>
      <w:r>
        <w:rPr>
          <w:rStyle w:val="FootnoteReference"/>
        </w:rPr>
        <w:footnoteRef/>
      </w:r>
      <w:r>
        <w:tab/>
        <w:t>JOIN(2016) 49 final, 10.11.2016 г.</w:t>
      </w:r>
    </w:p>
  </w:footnote>
  <w:footnote w:id="14">
    <w:p>
      <w:pPr>
        <w:pStyle w:val="FootnoteText"/>
      </w:pPr>
      <w:r>
        <w:rPr>
          <w:rStyle w:val="FootnoteReference"/>
        </w:rPr>
        <w:footnoteRef/>
      </w:r>
      <w:r>
        <w:tab/>
        <w:t>7348/1/17 REV 1, 24.3.2017 г.</w:t>
      </w:r>
    </w:p>
  </w:footnote>
  <w:footnote w:id="15">
    <w:p>
      <w:pPr>
        <w:pStyle w:val="FootnoteText"/>
      </w:pPr>
      <w:r>
        <w:rPr>
          <w:rStyle w:val="FootnoteReference"/>
        </w:rPr>
        <w:footnoteRef/>
      </w:r>
      <w:r>
        <w:tab/>
        <w:t>COM(2018) 28 final, 16.1.2018 г.</w:t>
      </w:r>
    </w:p>
  </w:footnote>
  <w:footnote w:id="16">
    <w:p>
      <w:pPr>
        <w:pStyle w:val="FootnoteText"/>
      </w:pPr>
      <w:r>
        <w:rPr>
          <w:rStyle w:val="FootnoteReference"/>
        </w:rPr>
        <w:footnoteRef/>
      </w:r>
      <w:r>
        <w:tab/>
        <w:t>Регламент (ЕО) № 1005/2008 на Съвета за създаване на система на Общността за предотвратяване, възпиране и премахване на незаконния, недеклариран и нерегулиран риболов, за изменение на регламенти (ЕИО) № 2847/93, (ЕО) № 1936/2001 и (ЕО) № 601/2004 и за отмяна на регламенти (ЕО) № 1093/94 и (ЕО) № 1447/1999 (ОВ L 286, 29.10.2008 г., стр. 1).</w:t>
      </w:r>
    </w:p>
  </w:footnote>
  <w:footnote w:id="17">
    <w:p>
      <w:pPr>
        <w:pStyle w:val="FootnoteText"/>
      </w:pPr>
      <w:r>
        <w:rPr>
          <w:rStyle w:val="FootnoteReference"/>
        </w:rPr>
        <w:footnoteRef/>
      </w:r>
      <w:r>
        <w:tab/>
        <w:t>Регламент (ЕО) № 1224/2009 на Съвета от 20 ноември 2009 г. за създаване на система за контрол на Съюза за гарантиране на спазването на правилата на общата политика в областта на рибарството, за изменение на регламенти (ЕО) № 847/96, (ЕО) № 2371/2002, (ЕО) № 811/2004, (ЕО) № 768/2005, (ЕО) № 2115/2005, (ЕО) № 2166/2005, (ЕО) № 388/2006, (ЕО) № 509/2007, (ЕО) № 676/2007, (ЕО) № 1098/2007, (ЕО) № 1300/2008, (ЕО) № 1342/2008 и за отмяна на регламенти (ЕИО) № 2847/93, (ЕО) № 1627/94 и (ЕО) № 1966/2006 (ОВ L 343, 22.12.2009 г., стр. 1).</w:t>
      </w:r>
    </w:p>
  </w:footnote>
  <w:footnote w:id="18">
    <w:p>
      <w:pPr>
        <w:pStyle w:val="FootnoteText"/>
      </w:pPr>
      <w:r>
        <w:rPr>
          <w:rStyle w:val="FootnoteReference"/>
        </w:rPr>
        <w:footnoteRef/>
      </w:r>
      <w:r>
        <w:tab/>
        <w:t>Регламент (ЕС) 2017/2403 на Европейския парламент и на Съвета от 12 декември 2017 г. относно устойчивото управление на външните риболовни флотове и за отмяна на Регламент (ЕО) № 1006/2008 на Съвета (ОВ L 347, 28.12.2017 г., стр. 81).</w:t>
      </w:r>
    </w:p>
  </w:footnote>
  <w:footnote w:id="19">
    <w:p>
      <w:pPr>
        <w:pStyle w:val="FootnoteText"/>
      </w:pPr>
      <w:r>
        <w:rPr>
          <w:rStyle w:val="FootnoteReference"/>
        </w:rPr>
        <w:footnoteRef/>
      </w:r>
      <w:r>
        <w:tab/>
        <w:t>Решение на Съвета от 19 май 2014 г. относно позицията, която трябва да се заеме от името на Европейския съюз в рамките на Северноатлантическата организация за опазване на сьомгата (NASCO).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CAE4373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1D9898E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96D6264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689A618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5B4E57C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700E3D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5340487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DE1EAD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47AB25E5"/>
    <w:multiLevelType w:val="singleLevel"/>
    <w:tmpl w:val="7516439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6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7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8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2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</w:num>
  <w:num w:numId="7">
    <w:abstractNumId w:val="6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4"/>
    <w:lvlOverride w:ilvl="0">
      <w:startOverride w:val="1"/>
    </w:lvlOverride>
  </w:num>
  <w:num w:numId="13">
    <w:abstractNumId w:val="19"/>
  </w:num>
  <w:num w:numId="14">
    <w:abstractNumId w:val="12"/>
  </w:num>
  <w:num w:numId="15">
    <w:abstractNumId w:val="21"/>
  </w:num>
  <w:num w:numId="16">
    <w:abstractNumId w:val="11"/>
  </w:num>
  <w:num w:numId="17">
    <w:abstractNumId w:val="13"/>
  </w:num>
  <w:num w:numId="18">
    <w:abstractNumId w:val="9"/>
  </w:num>
  <w:num w:numId="19">
    <w:abstractNumId w:val="20"/>
  </w:num>
  <w:num w:numId="20">
    <w:abstractNumId w:val="8"/>
  </w:num>
  <w:num w:numId="21">
    <w:abstractNumId w:val="14"/>
  </w:num>
  <w:num w:numId="22">
    <w:abstractNumId w:val="17"/>
  </w:num>
  <w:num w:numId="23">
    <w:abstractNumId w:val="18"/>
  </w:num>
  <w:num w:numId="24">
    <w:abstractNumId w:val="10"/>
  </w:num>
  <w:num w:numId="25">
    <w:abstractNumId w:val="16"/>
  </w:num>
  <w:num w:numId="26">
    <w:abstractNumId w:val="2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9-03-06 09:21:53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1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1"/>
    <w:docVar w:name="DQCStatus" w:val="Green"/>
    <w:docVar w:name="DQCVersion" w:val="3"/>
    <w:docVar w:name="DQCWithWarnings" w:val="0"/>
    <w:docVar w:name="LW_CORRIGENDUM" w:val="&lt;UNUSED&gt;"/>
    <w:docVar w:name="LW_COVERPAGE_EXISTS" w:val="True"/>
    <w:docVar w:name="LW_COVERPAGE_GUID" w:val="738A7E6E-5DA0-48A5-BA42-32EB7707E8FF"/>
    <w:docVar w:name="LW_COVERPAGE_TYPE" w:val="1"/>
    <w:docVar w:name="LW_CROSSREFERENCE" w:val="&lt;UNUSED&gt;"/>
    <w:docVar w:name="LW_DocType" w:val="COM"/>
    <w:docVar w:name="LW_EMISSION" w:val="6.3.2019"/>
    <w:docVar w:name="LW_EMISSION_ISODATE" w:val="2019-03-06"/>
    <w:docVar w:name="LW_EMISSION_LOCATION" w:val="BRX"/>
    <w:docVar w:name="LW_EMISSION_PREFIX" w:val="Брюксел, "/>
    <w:docVar w:name="LW_EMISSION_SUFFIX" w:val="&lt;EMPTY&gt;"/>
    <w:docVar w:name="LW_ID_DOCMODEL" w:val="SJ-043"/>
    <w:docVar w:name="LW_ID_DOCSIGNATURE" w:val="SJ-019"/>
    <w:docVar w:name="LW_ID_DOCSTRUCTURE" w:val="COM/PL/ORG"/>
    <w:docVar w:name="LW_ID_DOCTYPE" w:val="SJ-043"/>
    <w:docVar w:name="LW_ID_EXP.MOTIFS.NEW" w:val="EM_PL2_"/>
    <w:docVar w:name="LW_ID_STATUT" w:val="SJ-019"/>
    <w:docVar w:name="LW_INTERETEEE.CP" w:val="&lt;UNUSED&gt;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052"/>
    <w:docVar w:name="LW_REF.II.NEW.CP_YEAR" w:val="2019"/>
    <w:docVar w:name="LW_REF.INST.NEW" w:val="COM"/>
    <w:docVar w:name="LW_REF.INST.NEW_ADOPTED" w:val="final"/>
    <w:docVar w:name="LW_REF.INST.NEW_TEXT" w:val="(2019) 103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TATUT.CP" w:val="\u1055?\u1088?\u1077?\u1076?\u1083?\u1086?\u1078?\u1077?\u1085?\u1080?\u1077? \u1079?\u1072?"/>
    <w:docVar w:name="LW_SUPERTITRE" w:val="&lt;UNUSED&gt;"/>
    <w:docVar w:name="LW_TITRE.OBJ.CP" w:val="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74? \u1088?\u1072?\u1084?\u1082?\u1080?\u1090?\u1077? \u1085?\u1072? \u1054?\u1088?\u1075?\u1072?\u1085?\u1080?\u1079?\u1072?\u1094?\u1080?\u1103?\u1090?\u1072? \u1079?\u1072? \u1086?\u1087?\u1072?\u1079?\u1074?\u1072?\u1085?\u1077? \u1085?\u1072? \u1089?\u1100?\u1086?\u1084?\u1075?\u1072?\u1090?\u1072? \u1074? \u1057?\u1077?\u1074?\u1077?\u1088?\u1085?\u1080?\u1103? \u1040?\u1090?\u1083?\u1072?\u1085?\u1090?\u1080?\u1095?\u1077?\u1089?\u1082?\u1080? \u1086?\u1082?\u1077?\u1072?\u1085? (NASCO), \u1080? \u1079?\u1072? \u1086?\u1090?\u1084?\u1103?\u1085?\u1072? \u1085?\u1072? \u1056?\u1077?\u1096?\u1077?\u1085?\u1080?\u1077? 9450/1/14 REV 1"/>
    <w:docVar w:name="LW_TYPE.DOC.CP" w:val="\u1056?\u1045?\u1064?\u1045?\u1053?\u1048?\u1045? \u1053?\u1040? \u1057?\u1066?\u1042?\u1045?\u1058?\u1040?"/>
    <w:docVar w:name="Stamp" w:val="\\dossiers.dgt.cec.eu.int\dossiers\MARE\MARE-2018-00541\MARE-2018-00541-00-09-EN-EDT-00.201812071221138701498.DOCX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Dash1">
    <w:name w:val="Dash 1"/>
    <w:basedOn w:val="Normal"/>
    <w:pPr>
      <w:numPr>
        <w:numId w:val="11"/>
      </w:numPr>
      <w:spacing w:line="360" w:lineRule="auto"/>
      <w:jc w:val="left"/>
      <w:outlineLvl w:val="0"/>
    </w:pPr>
    <w:rPr>
      <w:rFonts w:eastAsia="Times New Roman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3"/>
      </w:numPr>
    </w:pPr>
  </w:style>
  <w:style w:type="paragraph" w:customStyle="1" w:styleId="Tiret1">
    <w:name w:val="Tiret 1"/>
    <w:basedOn w:val="Point1"/>
    <w:pPr>
      <w:numPr>
        <w:numId w:val="14"/>
      </w:numPr>
    </w:pPr>
  </w:style>
  <w:style w:type="paragraph" w:customStyle="1" w:styleId="Tiret2">
    <w:name w:val="Tiret 2"/>
    <w:basedOn w:val="Point2"/>
    <w:pPr>
      <w:numPr>
        <w:numId w:val="15"/>
      </w:numPr>
    </w:pPr>
  </w:style>
  <w:style w:type="paragraph" w:customStyle="1" w:styleId="Tiret3">
    <w:name w:val="Tiret 3"/>
    <w:basedOn w:val="Point3"/>
    <w:pPr>
      <w:numPr>
        <w:numId w:val="16"/>
      </w:numPr>
    </w:pPr>
  </w:style>
  <w:style w:type="paragraph" w:customStyle="1" w:styleId="Tiret4">
    <w:name w:val="Tiret 4"/>
    <w:basedOn w:val="Point4"/>
    <w:pPr>
      <w:numPr>
        <w:numId w:val="1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20"/>
      </w:numPr>
    </w:pPr>
  </w:style>
  <w:style w:type="paragraph" w:customStyle="1" w:styleId="Point1number">
    <w:name w:val="Point 1 (number)"/>
    <w:basedOn w:val="Normal"/>
    <w:pPr>
      <w:numPr>
        <w:ilvl w:val="2"/>
        <w:numId w:val="20"/>
      </w:numPr>
    </w:pPr>
  </w:style>
  <w:style w:type="paragraph" w:customStyle="1" w:styleId="Point2number">
    <w:name w:val="Point 2 (number)"/>
    <w:basedOn w:val="Normal"/>
    <w:pPr>
      <w:numPr>
        <w:ilvl w:val="4"/>
        <w:numId w:val="20"/>
      </w:numPr>
    </w:pPr>
  </w:style>
  <w:style w:type="paragraph" w:customStyle="1" w:styleId="Point3number">
    <w:name w:val="Point 3 (number)"/>
    <w:basedOn w:val="Normal"/>
    <w:pPr>
      <w:numPr>
        <w:ilvl w:val="6"/>
        <w:numId w:val="20"/>
      </w:numPr>
    </w:pPr>
  </w:style>
  <w:style w:type="paragraph" w:customStyle="1" w:styleId="Point0letter">
    <w:name w:val="Point 0 (letter)"/>
    <w:basedOn w:val="Normal"/>
    <w:pPr>
      <w:numPr>
        <w:ilvl w:val="1"/>
        <w:numId w:val="20"/>
      </w:numPr>
    </w:pPr>
  </w:style>
  <w:style w:type="paragraph" w:customStyle="1" w:styleId="Point1letter">
    <w:name w:val="Point 1 (letter)"/>
    <w:basedOn w:val="Normal"/>
    <w:pPr>
      <w:numPr>
        <w:ilvl w:val="3"/>
        <w:numId w:val="20"/>
      </w:numPr>
    </w:pPr>
  </w:style>
  <w:style w:type="paragraph" w:customStyle="1" w:styleId="Point2letter">
    <w:name w:val="Point 2 (letter)"/>
    <w:basedOn w:val="Normal"/>
    <w:pPr>
      <w:numPr>
        <w:ilvl w:val="5"/>
        <w:numId w:val="20"/>
      </w:numPr>
    </w:pPr>
  </w:style>
  <w:style w:type="paragraph" w:customStyle="1" w:styleId="Point3letter">
    <w:name w:val="Point 3 (letter)"/>
    <w:basedOn w:val="Normal"/>
    <w:pPr>
      <w:numPr>
        <w:ilvl w:val="7"/>
        <w:numId w:val="20"/>
      </w:numPr>
    </w:pPr>
  </w:style>
  <w:style w:type="paragraph" w:customStyle="1" w:styleId="Point4letter">
    <w:name w:val="Point 4 (letter)"/>
    <w:basedOn w:val="Normal"/>
    <w:pPr>
      <w:numPr>
        <w:ilvl w:val="8"/>
        <w:numId w:val="20"/>
      </w:numPr>
    </w:pPr>
  </w:style>
  <w:style w:type="paragraph" w:customStyle="1" w:styleId="Bullet0">
    <w:name w:val="Bullet 0"/>
    <w:basedOn w:val="Normal"/>
    <w:pPr>
      <w:numPr>
        <w:numId w:val="21"/>
      </w:numPr>
    </w:pPr>
  </w:style>
  <w:style w:type="paragraph" w:customStyle="1" w:styleId="Bullet1">
    <w:name w:val="Bullet 1"/>
    <w:basedOn w:val="Normal"/>
    <w:pPr>
      <w:numPr>
        <w:numId w:val="22"/>
      </w:numPr>
    </w:pPr>
  </w:style>
  <w:style w:type="paragraph" w:customStyle="1" w:styleId="Bullet2">
    <w:name w:val="Bullet 2"/>
    <w:basedOn w:val="Normal"/>
    <w:pPr>
      <w:numPr>
        <w:numId w:val="23"/>
      </w:numPr>
    </w:pPr>
  </w:style>
  <w:style w:type="paragraph" w:customStyle="1" w:styleId="Bullet3">
    <w:name w:val="Bullet 3"/>
    <w:basedOn w:val="Normal"/>
    <w:pPr>
      <w:numPr>
        <w:numId w:val="24"/>
      </w:numPr>
    </w:pPr>
  </w:style>
  <w:style w:type="paragraph" w:customStyle="1" w:styleId="Bullet4">
    <w:name w:val="Bullet 4"/>
    <w:basedOn w:val="Normal"/>
    <w:pPr>
      <w:numPr>
        <w:numId w:val="2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Dash1">
    <w:name w:val="Dash 1"/>
    <w:basedOn w:val="Normal"/>
    <w:pPr>
      <w:numPr>
        <w:numId w:val="11"/>
      </w:numPr>
      <w:spacing w:line="360" w:lineRule="auto"/>
      <w:jc w:val="left"/>
      <w:outlineLvl w:val="0"/>
    </w:pPr>
    <w:rPr>
      <w:rFonts w:eastAsia="Times New Roman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3"/>
      </w:numPr>
    </w:pPr>
  </w:style>
  <w:style w:type="paragraph" w:customStyle="1" w:styleId="Tiret1">
    <w:name w:val="Tiret 1"/>
    <w:basedOn w:val="Point1"/>
    <w:pPr>
      <w:numPr>
        <w:numId w:val="14"/>
      </w:numPr>
    </w:pPr>
  </w:style>
  <w:style w:type="paragraph" w:customStyle="1" w:styleId="Tiret2">
    <w:name w:val="Tiret 2"/>
    <w:basedOn w:val="Point2"/>
    <w:pPr>
      <w:numPr>
        <w:numId w:val="15"/>
      </w:numPr>
    </w:pPr>
  </w:style>
  <w:style w:type="paragraph" w:customStyle="1" w:styleId="Tiret3">
    <w:name w:val="Tiret 3"/>
    <w:basedOn w:val="Point3"/>
    <w:pPr>
      <w:numPr>
        <w:numId w:val="16"/>
      </w:numPr>
    </w:pPr>
  </w:style>
  <w:style w:type="paragraph" w:customStyle="1" w:styleId="Tiret4">
    <w:name w:val="Tiret 4"/>
    <w:basedOn w:val="Point4"/>
    <w:pPr>
      <w:numPr>
        <w:numId w:val="1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20"/>
      </w:numPr>
    </w:pPr>
  </w:style>
  <w:style w:type="paragraph" w:customStyle="1" w:styleId="Point1number">
    <w:name w:val="Point 1 (number)"/>
    <w:basedOn w:val="Normal"/>
    <w:pPr>
      <w:numPr>
        <w:ilvl w:val="2"/>
        <w:numId w:val="20"/>
      </w:numPr>
    </w:pPr>
  </w:style>
  <w:style w:type="paragraph" w:customStyle="1" w:styleId="Point2number">
    <w:name w:val="Point 2 (number)"/>
    <w:basedOn w:val="Normal"/>
    <w:pPr>
      <w:numPr>
        <w:ilvl w:val="4"/>
        <w:numId w:val="20"/>
      </w:numPr>
    </w:pPr>
  </w:style>
  <w:style w:type="paragraph" w:customStyle="1" w:styleId="Point3number">
    <w:name w:val="Point 3 (number)"/>
    <w:basedOn w:val="Normal"/>
    <w:pPr>
      <w:numPr>
        <w:ilvl w:val="6"/>
        <w:numId w:val="20"/>
      </w:numPr>
    </w:pPr>
  </w:style>
  <w:style w:type="paragraph" w:customStyle="1" w:styleId="Point0letter">
    <w:name w:val="Point 0 (letter)"/>
    <w:basedOn w:val="Normal"/>
    <w:pPr>
      <w:numPr>
        <w:ilvl w:val="1"/>
        <w:numId w:val="20"/>
      </w:numPr>
    </w:pPr>
  </w:style>
  <w:style w:type="paragraph" w:customStyle="1" w:styleId="Point1letter">
    <w:name w:val="Point 1 (letter)"/>
    <w:basedOn w:val="Normal"/>
    <w:pPr>
      <w:numPr>
        <w:ilvl w:val="3"/>
        <w:numId w:val="20"/>
      </w:numPr>
    </w:pPr>
  </w:style>
  <w:style w:type="paragraph" w:customStyle="1" w:styleId="Point2letter">
    <w:name w:val="Point 2 (letter)"/>
    <w:basedOn w:val="Normal"/>
    <w:pPr>
      <w:numPr>
        <w:ilvl w:val="5"/>
        <w:numId w:val="20"/>
      </w:numPr>
    </w:pPr>
  </w:style>
  <w:style w:type="paragraph" w:customStyle="1" w:styleId="Point3letter">
    <w:name w:val="Point 3 (letter)"/>
    <w:basedOn w:val="Normal"/>
    <w:pPr>
      <w:numPr>
        <w:ilvl w:val="7"/>
        <w:numId w:val="20"/>
      </w:numPr>
    </w:pPr>
  </w:style>
  <w:style w:type="paragraph" w:customStyle="1" w:styleId="Point4letter">
    <w:name w:val="Point 4 (letter)"/>
    <w:basedOn w:val="Normal"/>
    <w:pPr>
      <w:numPr>
        <w:ilvl w:val="8"/>
        <w:numId w:val="20"/>
      </w:numPr>
    </w:pPr>
  </w:style>
  <w:style w:type="paragraph" w:customStyle="1" w:styleId="Bullet0">
    <w:name w:val="Bullet 0"/>
    <w:basedOn w:val="Normal"/>
    <w:pPr>
      <w:numPr>
        <w:numId w:val="21"/>
      </w:numPr>
    </w:pPr>
  </w:style>
  <w:style w:type="paragraph" w:customStyle="1" w:styleId="Bullet1">
    <w:name w:val="Bullet 1"/>
    <w:basedOn w:val="Normal"/>
    <w:pPr>
      <w:numPr>
        <w:numId w:val="22"/>
      </w:numPr>
    </w:pPr>
  </w:style>
  <w:style w:type="paragraph" w:customStyle="1" w:styleId="Bullet2">
    <w:name w:val="Bullet 2"/>
    <w:basedOn w:val="Normal"/>
    <w:pPr>
      <w:numPr>
        <w:numId w:val="23"/>
      </w:numPr>
    </w:pPr>
  </w:style>
  <w:style w:type="paragraph" w:customStyle="1" w:styleId="Bullet3">
    <w:name w:val="Bullet 3"/>
    <w:basedOn w:val="Normal"/>
    <w:pPr>
      <w:numPr>
        <w:numId w:val="24"/>
      </w:numPr>
    </w:pPr>
  </w:style>
  <w:style w:type="paragraph" w:customStyle="1" w:styleId="Bullet4">
    <w:name w:val="Bullet 4"/>
    <w:basedOn w:val="Normal"/>
    <w:pPr>
      <w:numPr>
        <w:numId w:val="2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4CA3D-6711-4D0B-A4CF-90764E13C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3</TotalTime>
  <Pages>8</Pages>
  <Words>1999</Words>
  <Characters>11298</Characters>
  <Application>Microsoft Office Word</Application>
  <DocSecurity>0</DocSecurity>
  <Lines>217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DIGIT/C6</cp:lastModifiedBy>
  <cp:revision>18</cp:revision>
  <dcterms:created xsi:type="dcterms:W3CDTF">2019-02-15T15:14:00Z</dcterms:created>
  <dcterms:modified xsi:type="dcterms:W3CDTF">2019-03-06T08:21:00Z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Version">
    <vt:lpwstr>6.0.1.0</vt:lpwstr>
  </property>
  <property fmtid="{D5CDD505-2E9C-101B-9397-08002B2CF9AE}" pid="4" name="Last edited using">
    <vt:lpwstr>LW 6.0.1, Build 20180503</vt:lpwstr>
  </property>
  <property fmtid="{D5CDD505-2E9C-101B-9397-08002B2CF9AE}" pid="5" name="Created using">
    <vt:lpwstr>LW 6.0, Build 20171009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evel of sensitivity">
    <vt:lpwstr>Standard treatment</vt:lpwstr>
  </property>
  <property fmtid="{D5CDD505-2E9C-101B-9397-08002B2CF9AE}" pid="9" name="LWTemplateID">
    <vt:lpwstr>SJ-043</vt:lpwstr>
  </property>
  <property fmtid="{D5CDD505-2E9C-101B-9397-08002B2CF9AE}" pid="10" name="DQCStatus">
    <vt:lpwstr>Green (DQC version 03)</vt:lpwstr>
  </property>
</Properties>
</file>