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1FEB140-8FA7-4FC5-B22B-BEC62D07048D" style="width:451.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pStyle w:val="Header"/>
        <w:jc w:val="center"/>
        <w:rPr>
          <w:b/>
          <w:noProof/>
        </w:rPr>
      </w:pPr>
      <w:r>
        <w:rPr>
          <w:noProof/>
        </w:rPr>
        <w:t>Позиция, която трябва да се заеме от името на Съюза в рамките на Организацията за опазване на сьомгата в Северния Атлантически океан (NASCO)</w:t>
      </w:r>
    </w:p>
    <w:p>
      <w:pPr>
        <w:pStyle w:val="Heading1"/>
        <w:numPr>
          <w:ilvl w:val="0"/>
          <w:numId w:val="5"/>
        </w:numPr>
        <w:rPr>
          <w:noProof/>
        </w:rPr>
      </w:pPr>
      <w:r>
        <w:rPr>
          <w:noProof/>
        </w:rPr>
        <w:t>ПРИНЦИПИ</w:t>
      </w:r>
    </w:p>
    <w:p>
      <w:pPr>
        <w:rPr>
          <w:noProof/>
        </w:rPr>
      </w:pPr>
      <w:r>
        <w:rPr>
          <w:noProof/>
        </w:rPr>
        <w:t>В рамките на NASCO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и ограничаването на въздействието на риболовните дейности върху околната среда,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гарантира, че мерките, приети в рамките на NASCO, са в съответствие с Конвенцията NASCO;</w:t>
      </w:r>
    </w:p>
    <w:p>
      <w:pPr>
        <w:pStyle w:val="Point0"/>
        <w:rPr>
          <w:noProof/>
        </w:rPr>
      </w:pPr>
      <w:r>
        <w:rPr>
          <w:noProof/>
        </w:rPr>
        <w:t xml:space="preserve">в) </w:t>
      </w:r>
      <w:r>
        <w:rPr>
          <w:noProof/>
        </w:rPr>
        <w:tab/>
        <w:t>гарантира, че мерките, приети в рамките на NASCO, са в съответствие с международното право, и по-специално с разпоредбите на Конвенцията на ООН по морско право и член 66 от нея, Споразумението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конвенцията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lastRenderedPageBreak/>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NASCO и, когато е уместно, за подобряване на нейното управление и постиганите от нея резултати (например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насърчава координацията между РОУР и регионалните морски конвенции, както и — според случая — сътрудничеството със световни организации в рамките на техните мандати, и по-специално с Конвенцията OSPAR, по която Съюзът също е договаряща страна;</w:t>
      </w:r>
    </w:p>
    <w:p>
      <w:pPr>
        <w:pStyle w:val="Point0"/>
        <w:rPr>
          <w:noProof/>
          <w:szCs w:val="24"/>
        </w:rPr>
      </w:pPr>
      <w:r>
        <w:rPr>
          <w:noProof/>
        </w:rPr>
        <w:t>к)</w:t>
      </w:r>
      <w:r>
        <w:rPr>
          <w:noProof/>
        </w:rPr>
        <w:tab/>
        <w:t>насърчава механизмите за сътрудничество между РОУР, отговарящи за улова на видове, различни от риба тон, които механизми са подобни на т.нар. „процес от Кобе“ по отношение на РОУР за рибата тон.</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NASCO:</w:t>
      </w:r>
    </w:p>
    <w:p>
      <w:pPr>
        <w:pStyle w:val="Point0"/>
        <w:rPr>
          <w:noProof/>
        </w:rPr>
      </w:pPr>
      <w:r>
        <w:rPr>
          <w:noProof/>
        </w:rPr>
        <w:t xml:space="preserve">а) </w:t>
      </w:r>
      <w:r>
        <w:rPr>
          <w:noProof/>
        </w:rPr>
        <w:tab/>
        <w:t>мерки за опазване и управление на рибните ресурси в зоната на конвенцията въз основа на най-добрите налични научни становища, включително общ допустим улов и квоти или регулиране на усилието по отношение на живите морски биологични ресурси, регулирани от NASCO, с които мерки ще може да се постигне устойчива експлоатация на нивата, на които се получава максимален устойчив улов, чрез постепенно и постъпателно нарастване най-късно до 2020 г. При необходимост трябва да бъдат разгледани специални мерки за запасите, които са подложени на прекомерен улов, за да се гарантира, че риболовното усилие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зоната на конвенцията,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зоната на Конвенцията NASCO с цел да се осигури ефективност на контрола и спазване на мерките, приети в рамките на NASCO;</w:t>
      </w:r>
    </w:p>
    <w:p>
      <w:pPr>
        <w:pStyle w:val="Point0"/>
        <w:rPr>
          <w:noProof/>
        </w:rPr>
      </w:pPr>
      <w:r>
        <w:rPr>
          <w:noProof/>
        </w:rPr>
        <w:t xml:space="preserve">г) </w:t>
      </w:r>
      <w:r>
        <w:rPr>
          <w:noProof/>
        </w:rPr>
        <w:tab/>
        <w:t xml:space="preserve">мерки за максимално ограничаване на отрицателното въздействие на риболовните дейности и аквакултурите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Конвенцията NASCO в съответствие с Международните насоки на ФАО за управление на дълбоководния риболов в открито море, мерки за избягване и намаляване, доколкото е възможно, на </w:t>
      </w:r>
      <w:r>
        <w:rPr>
          <w:noProof/>
        </w:rPr>
        <w:lastRenderedPageBreak/>
        <w:t>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е)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ж)</w:t>
      </w:r>
      <w:r>
        <w:rPr>
          <w:noProof/>
        </w:rPr>
        <w:tab/>
        <w:t>разработване, когато е целесъобразно, на съвместни подходи с други РОУР — по-специално с тези от тях, които участват в управлението на рибарството в същия регион;</w:t>
      </w:r>
    </w:p>
    <w:p>
      <w:pPr>
        <w:pStyle w:val="Point0"/>
        <w:rPr>
          <w:noProof/>
        </w:rPr>
      </w:pPr>
      <w:r>
        <w:rPr>
          <w:noProof/>
        </w:rPr>
        <w:t>з)</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 xml:space="preserve">и) </w:t>
      </w:r>
      <w:r>
        <w:rPr>
          <w:noProof/>
        </w:rPr>
        <w:tab/>
        <w:t>допълнителни технически мерки, основани на становища на спомагателните органи и работните групи на NASCO.</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II</w:t>
      </w:r>
    </w:p>
    <w:p>
      <w:pPr>
        <w:jc w:val="center"/>
        <w:rPr>
          <w:rFonts w:eastAsia="Calibri"/>
          <w:b/>
          <w:noProof/>
          <w:szCs w:val="20"/>
          <w:u w:val="single"/>
        </w:rPr>
      </w:pPr>
      <w:r>
        <w:rPr>
          <w:b/>
          <w:noProof/>
          <w:u w:val="single"/>
        </w:rPr>
        <w:t>Ежегодно уточняване на позицията на Съюза, която трябва да се заеме</w:t>
      </w:r>
    </w:p>
    <w:p>
      <w:pPr>
        <w:jc w:val="center"/>
        <w:rPr>
          <w:rFonts w:eastAsia="Calibri"/>
          <w:b/>
          <w:noProof/>
          <w:szCs w:val="20"/>
          <w:u w:val="single"/>
        </w:rPr>
      </w:pPr>
      <w:r>
        <w:rPr>
          <w:b/>
          <w:noProof/>
          <w:u w:val="single"/>
        </w:rPr>
        <w:t xml:space="preserve">на заседанията на Организацията за опазване на сьомгата в Северния Атлантически океан </w:t>
      </w:r>
    </w:p>
    <w:p>
      <w:pPr>
        <w:jc w:val="center"/>
        <w:rPr>
          <w:rFonts w:eastAsia="Calibri"/>
          <w:b/>
          <w:i/>
          <w:strike/>
          <w:noProof/>
          <w:szCs w:val="20"/>
          <w:u w:val="single"/>
        </w:rPr>
      </w:pPr>
    </w:p>
    <w:p>
      <w:pPr>
        <w:rPr>
          <w:rFonts w:eastAsia="Calibri"/>
          <w:noProof/>
          <w:szCs w:val="20"/>
        </w:rPr>
      </w:pPr>
      <w:r>
        <w:rPr>
          <w:noProof/>
        </w:rPr>
        <w:t>Преди всяко заседание на Съвета NASCO, когато този орган има за задача да приема решения, които могат да станат обвързващи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Съвета NASCO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Съвета NASCO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EA47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98C1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F28D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ECC23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21: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21FEB140-8FA7-4FC5-B22B-BEC62D07048D"/>
    <w:docVar w:name="LW_COVERPAGE_TYPE" w:val="1"/>
    <w:docVar w:name="LW_CROSSREFERENCE" w:val="&lt;UNUSED&gt;"/>
    <w:docVar w:name="LW_DocType" w:val="ANNEX"/>
    <w:docVar w:name="LW_EMISSION" w:val="6.3.2019"/>
    <w:docVar w:name="LW_EMISSION_ISODATE" w:val="2019-03-06"/>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6?\u1087?\u1072?\u1079?\u1074?\u1072?\u1085?\u1077? \u1085?\u1072? \u1089?\u1100?\u1086?\u1084?\u1075?\u1072?\u1090?\u1072? \u1074? \u1057?\u1077?\u1074?\u1077?\u1088?\u1085?\u1080?\u1103? \u1040?\u1090?\u1083?\u1072?\u1085?\u1090?\u1080?\u1095?\u1077?\u1089?\u1082?\u1080? \u1086?\u1082?\u1077?\u1072?\u1085? (NASCO), \u1080? \u1079?\u1072? \u1086?\u1090?\u1084?\u1103?\u1085?\u1072? \u1085?\u1072? \u1056?\u1077?\u1096?\u1077?\u1085?\u1080?\u1077? 9450/1/14 REV 1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6?\u1087?\u1072?\u1079?\u1074?\u1072?\u1085?\u1077? \u1085?\u1072? \u1089?\u1100?\u1086?\u1084?\u1075?\u1072?\u1090?\u1072? \u1074? \u1057?\u1077?\u1074?\u1077?\u1088?\u1085?\u1080?\u1103? \u1040?\u1090?\u1083?\u1072?\u1085?\u1090?\u1080?\u1095?\u1077?\u1089?\u1082?\u1080? \u1086?\u1082?\u1077?\u1072?\u1085? (NASCO), \u1080? \u1079?\u1072? \u1086?\u1090?\u1084?\u1103?\u1085?\u1072? \u1085?\u1072? \u1056?\u1077?\u1096?\u1077?\u1085?\u1080?\u1077? 9450/1/14 REV 1_x000b_"/>
    <w:docVar w:name="LW_PART_NBR" w:val="&lt;UNUSED&gt;"/>
    <w:docVar w:name="LW_PART_NBR_TOTAL" w:val="&lt;UNUSED&gt;"/>
    <w:docVar w:name="LW_REF.INST.NEW" w:val="COM"/>
    <w:docVar w:name="LW_REF.INST.NEW_ADOPTED" w:val="final"/>
    <w:docVar w:name="LW_REF.INST.NEW_TEXT" w:val="(2019)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1148</Words>
  <Characters>6596</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2019-02-27T09:04:00Z</dcterms:created>
  <dcterms:modified xsi:type="dcterms:W3CDTF">2019-03-06T08:21:00Z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