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CFC310B-FA8D-4901-9B65-26F17219F6EC" style="width:450.8pt;height:460.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autoSpaceDE w:val="0"/>
        <w:autoSpaceDN w:val="0"/>
        <w:adjustRightInd w:val="0"/>
        <w:spacing w:after="0" w:line="360" w:lineRule="auto"/>
        <w:jc w:val="center"/>
        <w:rPr>
          <w:rFonts w:ascii="Times New Roman" w:hAnsi="Times New Roman" w:cs="Times New Roman"/>
          <w:b/>
          <w:i/>
          <w:noProof/>
          <w:color w:val="000000"/>
          <w:sz w:val="28"/>
          <w:szCs w:val="28"/>
        </w:rPr>
      </w:pPr>
      <w:bookmarkStart w:id="1" w:name="_GoBack"/>
      <w:bookmarkEnd w:id="1"/>
      <w:r>
        <w:rPr>
          <w:rFonts w:ascii="Times New Roman" w:hAnsi="Times New Roman" w:cs="Times New Roman"/>
          <w:b/>
          <w:i/>
          <w:noProof/>
          <w:color w:val="000000"/>
          <w:sz w:val="28"/>
          <w:szCs w:val="28"/>
        </w:rPr>
        <w:lastRenderedPageBreak/>
        <w:t>BILATERAL OVERSIGHT BOARD</w:t>
      </w:r>
    </w:p>
    <w:p>
      <w:pPr>
        <w:autoSpaceDE w:val="0"/>
        <w:autoSpaceDN w:val="0"/>
        <w:adjustRightInd w:val="0"/>
        <w:spacing w:after="0" w:line="360" w:lineRule="auto"/>
        <w:jc w:val="center"/>
        <w:rPr>
          <w:rFonts w:ascii="Times New Roman" w:hAnsi="Times New Roman" w:cs="Times New Roman"/>
          <w:b/>
          <w:i/>
          <w:noProof/>
          <w:color w:val="000000"/>
          <w:sz w:val="28"/>
          <w:szCs w:val="28"/>
        </w:rPr>
      </w:pPr>
      <w:r>
        <w:rPr>
          <w:rFonts w:ascii="Times New Roman" w:hAnsi="Times New Roman" w:cs="Times New Roman"/>
          <w:b/>
          <w:i/>
          <w:noProof/>
          <w:color w:val="000000"/>
          <w:sz w:val="28"/>
          <w:szCs w:val="28"/>
        </w:rPr>
        <w:t>FOR THE AGREEMENT</w:t>
      </w:r>
    </w:p>
    <w:p>
      <w:pPr>
        <w:autoSpaceDE w:val="0"/>
        <w:autoSpaceDN w:val="0"/>
        <w:adjustRightInd w:val="0"/>
        <w:spacing w:after="0" w:line="360" w:lineRule="auto"/>
        <w:jc w:val="center"/>
        <w:rPr>
          <w:rFonts w:ascii="Times New Roman" w:hAnsi="Times New Roman" w:cs="Times New Roman"/>
          <w:b/>
          <w:i/>
          <w:noProof/>
          <w:color w:val="000000"/>
          <w:sz w:val="28"/>
          <w:szCs w:val="28"/>
        </w:rPr>
      </w:pPr>
      <w:r>
        <w:rPr>
          <w:rFonts w:ascii="Times New Roman" w:hAnsi="Times New Roman" w:cs="Times New Roman"/>
          <w:b/>
          <w:i/>
          <w:noProof/>
          <w:color w:val="000000"/>
          <w:sz w:val="28"/>
          <w:szCs w:val="28"/>
        </w:rPr>
        <w:t>BETWEEN</w:t>
      </w:r>
    </w:p>
    <w:p>
      <w:pPr>
        <w:autoSpaceDE w:val="0"/>
        <w:autoSpaceDN w:val="0"/>
        <w:adjustRightInd w:val="0"/>
        <w:spacing w:after="0" w:line="360" w:lineRule="auto"/>
        <w:jc w:val="center"/>
        <w:rPr>
          <w:rFonts w:ascii="Times New Roman" w:hAnsi="Times New Roman" w:cs="Times New Roman"/>
          <w:b/>
          <w:i/>
          <w:noProof/>
          <w:color w:val="000000"/>
          <w:sz w:val="28"/>
          <w:szCs w:val="28"/>
        </w:rPr>
      </w:pPr>
      <w:r>
        <w:rPr>
          <w:rFonts w:ascii="Times New Roman" w:hAnsi="Times New Roman" w:cs="Times New Roman"/>
          <w:b/>
          <w:i/>
          <w:noProof/>
          <w:color w:val="000000"/>
          <w:sz w:val="28"/>
          <w:szCs w:val="28"/>
        </w:rPr>
        <w:t>THE UNITED STATES OF AMERICA</w:t>
      </w:r>
    </w:p>
    <w:p>
      <w:pPr>
        <w:autoSpaceDE w:val="0"/>
        <w:autoSpaceDN w:val="0"/>
        <w:adjustRightInd w:val="0"/>
        <w:spacing w:after="0" w:line="360" w:lineRule="auto"/>
        <w:jc w:val="center"/>
        <w:rPr>
          <w:rFonts w:ascii="Times New Roman" w:hAnsi="Times New Roman" w:cs="Times New Roman"/>
          <w:b/>
          <w:i/>
          <w:noProof/>
          <w:color w:val="000000"/>
          <w:sz w:val="28"/>
          <w:szCs w:val="28"/>
        </w:rPr>
      </w:pPr>
      <w:r>
        <w:rPr>
          <w:rFonts w:ascii="Times New Roman" w:hAnsi="Times New Roman" w:cs="Times New Roman"/>
          <w:b/>
          <w:i/>
          <w:noProof/>
          <w:color w:val="000000"/>
          <w:sz w:val="28"/>
          <w:szCs w:val="28"/>
        </w:rPr>
        <w:t>AND THE EUROPEAN UNION</w:t>
      </w:r>
    </w:p>
    <w:p>
      <w:pPr>
        <w:autoSpaceDE w:val="0"/>
        <w:autoSpaceDN w:val="0"/>
        <w:adjustRightInd w:val="0"/>
        <w:spacing w:after="0" w:line="360" w:lineRule="auto"/>
        <w:jc w:val="center"/>
        <w:rPr>
          <w:rFonts w:ascii="Times New Roman" w:hAnsi="Times New Roman" w:cs="Times New Roman"/>
          <w:b/>
          <w:i/>
          <w:noProof/>
          <w:color w:val="000000"/>
          <w:sz w:val="28"/>
          <w:szCs w:val="28"/>
        </w:rPr>
      </w:pPr>
      <w:r>
        <w:rPr>
          <w:rFonts w:ascii="Times New Roman" w:hAnsi="Times New Roman" w:cs="Times New Roman"/>
          <w:b/>
          <w:i/>
          <w:noProof/>
          <w:color w:val="000000"/>
          <w:sz w:val="28"/>
          <w:szCs w:val="28"/>
        </w:rPr>
        <w:t>ON COOPERATION IN THE REGULATION OF CIVIL AVIATION SAFETY</w:t>
      </w:r>
    </w:p>
    <w:p>
      <w:pPr>
        <w:autoSpaceDE w:val="0"/>
        <w:autoSpaceDN w:val="0"/>
        <w:adjustRightInd w:val="0"/>
        <w:spacing w:after="0" w:line="240" w:lineRule="atLeast"/>
        <w:jc w:val="center"/>
        <w:rPr>
          <w:rFonts w:ascii="Times New Roman" w:hAnsi="Times New Roman" w:cs="Times New Roman"/>
          <w:b/>
          <w:i/>
          <w:noProof/>
          <w:color w:val="000000"/>
          <w:sz w:val="28"/>
          <w:szCs w:val="28"/>
        </w:rPr>
      </w:pPr>
    </w:p>
    <w:p>
      <w:pPr>
        <w:autoSpaceDE w:val="0"/>
        <w:autoSpaceDN w:val="0"/>
        <w:adjustRightInd w:val="0"/>
        <w:spacing w:before="120" w:after="120" w:line="240" w:lineRule="atLeast"/>
        <w:jc w:val="center"/>
        <w:rPr>
          <w:rFonts w:ascii="Times New Roman" w:hAnsi="Times New Roman" w:cs="Times New Roman"/>
          <w:b/>
          <w:i/>
          <w:noProof/>
          <w:color w:val="000000"/>
          <w:sz w:val="28"/>
          <w:szCs w:val="28"/>
        </w:rPr>
      </w:pPr>
      <w:r>
        <w:rPr>
          <w:rFonts w:ascii="Times New Roman" w:hAnsi="Times New Roman" w:cs="Times New Roman"/>
          <w:b/>
          <w:i/>
          <w:noProof/>
          <w:color w:val="000000"/>
          <w:sz w:val="28"/>
          <w:szCs w:val="28"/>
        </w:rPr>
        <w:t>RECORD OF DECISION</w:t>
      </w:r>
    </w:p>
    <w:p>
      <w:pPr>
        <w:autoSpaceDE w:val="0"/>
        <w:autoSpaceDN w:val="0"/>
        <w:adjustRightInd w:val="0"/>
        <w:spacing w:before="120" w:line="240" w:lineRule="atLeast"/>
        <w:jc w:val="center"/>
        <w:rPr>
          <w:rFonts w:ascii="Times New Roman" w:hAnsi="Times New Roman" w:cs="Times New Roman"/>
          <w:b/>
          <w:i/>
          <w:noProof/>
          <w:color w:val="000000"/>
          <w:sz w:val="28"/>
          <w:szCs w:val="28"/>
        </w:rPr>
      </w:pPr>
      <w:r>
        <w:rPr>
          <w:rFonts w:ascii="Times New Roman" w:hAnsi="Times New Roman" w:cs="Times New Roman"/>
          <w:b/>
          <w:i/>
          <w:noProof/>
          <w:color w:val="000000"/>
          <w:sz w:val="28"/>
          <w:szCs w:val="28"/>
        </w:rPr>
        <w:t>DECISION N˚ 0010</w:t>
      </w:r>
    </w:p>
    <w:p>
      <w:pPr>
        <w:autoSpaceDE w:val="0"/>
        <w:autoSpaceDN w:val="0"/>
        <w:adjustRightInd w:val="0"/>
        <w:spacing w:before="120" w:after="120" w:line="240" w:lineRule="atLeast"/>
        <w:ind w:left="-90"/>
        <w:rPr>
          <w:rFonts w:ascii="Times New Roman" w:hAnsi="Times New Roman" w:cs="Times New Roman"/>
          <w:noProof/>
          <w:sz w:val="24"/>
          <w:szCs w:val="24"/>
        </w:rPr>
      </w:pPr>
    </w:p>
    <w:p>
      <w:pPr>
        <w:autoSpaceDE w:val="0"/>
        <w:autoSpaceDN w:val="0"/>
        <w:adjustRightInd w:val="0"/>
        <w:spacing w:before="120" w:after="240" w:line="240" w:lineRule="atLeast"/>
        <w:ind w:left="-86"/>
        <w:rPr>
          <w:rFonts w:ascii="Times New Roman" w:hAnsi="Times New Roman" w:cs="Times New Roman"/>
          <w:noProof/>
          <w:sz w:val="24"/>
          <w:szCs w:val="24"/>
        </w:rPr>
      </w:pPr>
      <w:r>
        <w:rPr>
          <w:rFonts w:ascii="Times New Roman" w:hAnsi="Times New Roman" w:cs="Times New Roman"/>
          <w:noProof/>
          <w:sz w:val="24"/>
          <w:szCs w:val="24"/>
        </w:rPr>
        <w:t xml:space="preserve">Noting that Amendment 1 of the Agreement between the United States of America and the European Community on Cooperation in the Regulation of Civil Aviation Safety (the “Agreement”) expands the scope of Article 2.B of the Agreement to include, </w:t>
      </w:r>
      <w:r>
        <w:rPr>
          <w:rFonts w:ascii="Times New Roman" w:hAnsi="Times New Roman" w:cs="Times New Roman"/>
          <w:i/>
          <w:noProof/>
          <w:sz w:val="24"/>
          <w:szCs w:val="24"/>
        </w:rPr>
        <w:t>inter alia</w:t>
      </w:r>
      <w:r>
        <w:rPr>
          <w:rFonts w:ascii="Times New Roman" w:hAnsi="Times New Roman" w:cs="Times New Roman"/>
          <w:noProof/>
          <w:sz w:val="24"/>
          <w:szCs w:val="24"/>
        </w:rPr>
        <w:t>, personnel licensing and training;</w:t>
      </w:r>
    </w:p>
    <w:p>
      <w:pPr>
        <w:autoSpaceDE w:val="0"/>
        <w:autoSpaceDN w:val="0"/>
        <w:adjustRightInd w:val="0"/>
        <w:spacing w:before="120" w:after="240" w:line="240" w:lineRule="atLeast"/>
        <w:ind w:left="-86"/>
        <w:rPr>
          <w:rFonts w:ascii="Times New Roman" w:hAnsi="Times New Roman" w:cs="Times New Roman"/>
          <w:noProof/>
          <w:sz w:val="24"/>
          <w:szCs w:val="24"/>
        </w:rPr>
      </w:pPr>
      <w:r>
        <w:rPr>
          <w:rFonts w:ascii="Times New Roman" w:hAnsi="Times New Roman" w:cs="Times New Roman"/>
          <w:noProof/>
          <w:sz w:val="24"/>
          <w:szCs w:val="24"/>
        </w:rPr>
        <w:t xml:space="preserve">Further noting that Article 5 of the Agreement, as amended, provides for the development of new Annexes to the Agreement for matters within the scope of the Agreement, which are then, pursuant to Article 19.C, brought into force upon a decision of the Bilateral Oversight Board (“BOB”) established pursuant to Article 3;  </w:t>
      </w:r>
    </w:p>
    <w:p>
      <w:pPr>
        <w:autoSpaceDE w:val="0"/>
        <w:autoSpaceDN w:val="0"/>
        <w:adjustRightInd w:val="0"/>
        <w:spacing w:before="120" w:after="120" w:line="240" w:lineRule="atLeast"/>
        <w:ind w:left="-90"/>
        <w:rPr>
          <w:rFonts w:ascii="Times New Roman" w:hAnsi="Times New Roman" w:cs="Times New Roman"/>
          <w:noProof/>
          <w:sz w:val="24"/>
          <w:szCs w:val="24"/>
        </w:rPr>
      </w:pPr>
      <w:r>
        <w:rPr>
          <w:rFonts w:ascii="Times New Roman" w:hAnsi="Times New Roman" w:cs="Times New Roman"/>
          <w:noProof/>
          <w:sz w:val="24"/>
          <w:szCs w:val="24"/>
        </w:rPr>
        <w:t xml:space="preserve">The BOB hereby decides as follows: </w:t>
      </w:r>
    </w:p>
    <w:p>
      <w:pPr>
        <w:pStyle w:val="ListParagraph"/>
        <w:numPr>
          <w:ilvl w:val="0"/>
          <w:numId w:val="1"/>
        </w:numPr>
        <w:autoSpaceDE w:val="0"/>
        <w:autoSpaceDN w:val="0"/>
        <w:adjustRightInd w:val="0"/>
        <w:spacing w:before="120" w:after="120" w:line="240" w:lineRule="atLeast"/>
        <w:ind w:left="720" w:hanging="270"/>
        <w:rPr>
          <w:rFonts w:ascii="Times New Roman" w:hAnsi="Times New Roman" w:cs="Times New Roman"/>
          <w:noProof/>
          <w:sz w:val="24"/>
          <w:szCs w:val="24"/>
        </w:rPr>
      </w:pPr>
      <w:r>
        <w:rPr>
          <w:rFonts w:ascii="Times New Roman" w:hAnsi="Times New Roman" w:cs="Times New Roman"/>
          <w:noProof/>
          <w:sz w:val="24"/>
          <w:szCs w:val="24"/>
        </w:rPr>
        <w:t>To adopt Annex 3 (Pilot Licensing) to the Agreement as attached to this Decision.</w:t>
      </w:r>
    </w:p>
    <w:p>
      <w:pPr>
        <w:pStyle w:val="ListParagraph"/>
        <w:autoSpaceDE w:val="0"/>
        <w:autoSpaceDN w:val="0"/>
        <w:adjustRightInd w:val="0"/>
        <w:spacing w:before="120" w:after="120" w:line="240" w:lineRule="atLeast"/>
        <w:rPr>
          <w:rFonts w:ascii="Times New Roman" w:hAnsi="Times New Roman" w:cs="Times New Roman"/>
          <w:noProof/>
          <w:sz w:val="24"/>
          <w:szCs w:val="24"/>
        </w:rPr>
      </w:pPr>
    </w:p>
    <w:p>
      <w:pPr>
        <w:pStyle w:val="ListParagraph"/>
        <w:numPr>
          <w:ilvl w:val="0"/>
          <w:numId w:val="1"/>
        </w:numPr>
        <w:autoSpaceDE w:val="0"/>
        <w:autoSpaceDN w:val="0"/>
        <w:adjustRightInd w:val="0"/>
        <w:spacing w:before="120" w:after="120" w:line="240" w:lineRule="atLeast"/>
        <w:ind w:left="720" w:hanging="270"/>
        <w:rPr>
          <w:rFonts w:ascii="Times New Roman" w:hAnsi="Times New Roman" w:cs="Times New Roman"/>
          <w:noProof/>
          <w:sz w:val="24"/>
          <w:szCs w:val="24"/>
        </w:rPr>
      </w:pPr>
      <w:r>
        <w:rPr>
          <w:rFonts w:ascii="Times New Roman" w:hAnsi="Times New Roman" w:cs="Times New Roman"/>
          <w:noProof/>
          <w:sz w:val="24"/>
          <w:szCs w:val="24"/>
        </w:rPr>
        <w:t>Annex 3 (Pilot Licensing) to the Agreement shall enter into force on the date of the last signature below.</w:t>
      </w:r>
    </w:p>
    <w:p>
      <w:pPr>
        <w:autoSpaceDE w:val="0"/>
        <w:autoSpaceDN w:val="0"/>
        <w:adjustRightInd w:val="0"/>
        <w:spacing w:before="120" w:after="120" w:line="240" w:lineRule="atLeast"/>
        <w:ind w:left="-90"/>
        <w:rPr>
          <w:rFonts w:ascii="Times New Roman" w:hAnsi="Times New Roman" w:cs="Times New Roman"/>
          <w:noProof/>
          <w:sz w:val="24"/>
          <w:szCs w:val="24"/>
        </w:rPr>
      </w:pPr>
    </w:p>
    <w:p>
      <w:pPr>
        <w:tabs>
          <w:tab w:val="left" w:pos="-720"/>
        </w:tabs>
        <w:spacing w:after="0"/>
        <w:ind w:left="-90"/>
        <w:rPr>
          <w:rFonts w:ascii="Times New Roman" w:hAnsi="Times New Roman" w:cs="Times New Roman"/>
          <w:noProof/>
          <w:sz w:val="24"/>
          <w:szCs w:val="24"/>
        </w:rPr>
      </w:pPr>
      <w:r>
        <w:rPr>
          <w:rFonts w:ascii="Times New Roman" w:hAnsi="Times New Roman" w:cs="Times New Roman"/>
          <w:noProof/>
          <w:sz w:val="24"/>
          <w:szCs w:val="24"/>
        </w:rPr>
        <w:t>For the Bilateral Oversight Board:</w:t>
      </w:r>
    </w:p>
    <w:p>
      <w:pPr>
        <w:tabs>
          <w:tab w:val="left" w:pos="-720"/>
        </w:tabs>
        <w:spacing w:after="120"/>
        <w:rPr>
          <w:rFonts w:ascii="Times New Roman" w:hAnsi="Times New Roman" w:cs="Times New Roman"/>
          <w:noProof/>
          <w:sz w:val="24"/>
          <w:szCs w:val="24"/>
        </w:rPr>
      </w:pPr>
    </w:p>
    <w:tbl>
      <w:tblPr>
        <w:tblW w:w="9748" w:type="dxa"/>
        <w:jc w:val="center"/>
        <w:tblLayout w:type="fixed"/>
        <w:tblLook w:val="0000" w:firstRow="0" w:lastRow="0" w:firstColumn="0" w:lastColumn="0" w:noHBand="0" w:noVBand="0"/>
      </w:tblPr>
      <w:tblGrid>
        <w:gridCol w:w="1105"/>
        <w:gridCol w:w="3653"/>
        <w:gridCol w:w="270"/>
        <w:gridCol w:w="1117"/>
        <w:gridCol w:w="3603"/>
      </w:tblGrid>
      <w:tr>
        <w:trPr>
          <w:cantSplit/>
          <w:jc w:val="center"/>
        </w:trPr>
        <w:tc>
          <w:tcPr>
            <w:tcW w:w="4758" w:type="dxa"/>
            <w:gridSpan w:val="2"/>
          </w:tcPr>
          <w:p>
            <w:pPr>
              <w:spacing w:after="0"/>
              <w:rPr>
                <w:rFonts w:ascii="Times New Roman" w:hAnsi="Times New Roman" w:cs="Times New Roman"/>
                <w:noProof/>
                <w:sz w:val="24"/>
                <w:szCs w:val="24"/>
              </w:rPr>
            </w:pPr>
            <w:r>
              <w:rPr>
                <w:rFonts w:ascii="Times New Roman" w:hAnsi="Times New Roman" w:cs="Times New Roman"/>
                <w:noProof/>
                <w:sz w:val="24"/>
                <w:szCs w:val="24"/>
              </w:rPr>
              <w:t>FEDERAL AVIATION ADMINISTRATION</w:t>
            </w:r>
          </w:p>
          <w:p>
            <w:pPr>
              <w:spacing w:after="0"/>
              <w:rPr>
                <w:rFonts w:ascii="Times New Roman" w:hAnsi="Times New Roman" w:cs="Times New Roman"/>
                <w:noProof/>
                <w:sz w:val="24"/>
                <w:szCs w:val="24"/>
              </w:rPr>
            </w:pPr>
            <w:r>
              <w:rPr>
                <w:rFonts w:ascii="Times New Roman" w:hAnsi="Times New Roman" w:cs="Times New Roman"/>
                <w:noProof/>
                <w:sz w:val="24"/>
                <w:szCs w:val="24"/>
              </w:rPr>
              <w:t>DEPARTMENT OF TRANSPORTATION</w:t>
            </w:r>
          </w:p>
          <w:p>
            <w:pPr>
              <w:spacing w:after="0"/>
              <w:rPr>
                <w:rFonts w:ascii="Times New Roman" w:hAnsi="Times New Roman" w:cs="Times New Roman"/>
                <w:noProof/>
                <w:sz w:val="24"/>
                <w:szCs w:val="24"/>
              </w:rPr>
            </w:pPr>
            <w:r>
              <w:rPr>
                <w:rFonts w:ascii="Times New Roman" w:hAnsi="Times New Roman" w:cs="Times New Roman"/>
                <w:noProof/>
                <w:sz w:val="24"/>
                <w:szCs w:val="24"/>
              </w:rPr>
              <w:t>UNITED STATES OF AMERICA</w:t>
            </w:r>
          </w:p>
        </w:tc>
        <w:tc>
          <w:tcPr>
            <w:tcW w:w="270" w:type="dxa"/>
          </w:tcPr>
          <w:p>
            <w:pPr>
              <w:rPr>
                <w:rFonts w:ascii="Times New Roman" w:hAnsi="Times New Roman" w:cs="Times New Roman"/>
                <w:noProof/>
                <w:sz w:val="24"/>
                <w:szCs w:val="24"/>
              </w:rPr>
            </w:pPr>
          </w:p>
        </w:tc>
        <w:tc>
          <w:tcPr>
            <w:tcW w:w="4720" w:type="dxa"/>
            <w:gridSpan w:val="2"/>
          </w:tcPr>
          <w:p>
            <w:pPr>
              <w:spacing w:after="0"/>
              <w:rPr>
                <w:rFonts w:ascii="Times New Roman" w:hAnsi="Times New Roman" w:cs="Times New Roman"/>
                <w:noProof/>
                <w:sz w:val="24"/>
                <w:szCs w:val="24"/>
              </w:rPr>
            </w:pPr>
            <w:r>
              <w:rPr>
                <w:rFonts w:ascii="Times New Roman" w:hAnsi="Times New Roman" w:cs="Times New Roman"/>
                <w:noProof/>
                <w:sz w:val="24"/>
                <w:szCs w:val="24"/>
              </w:rPr>
              <w:t>EUROPEAN COMMISSION</w:t>
            </w:r>
          </w:p>
          <w:p>
            <w:pPr>
              <w:rPr>
                <w:rFonts w:ascii="Times New Roman" w:hAnsi="Times New Roman" w:cs="Times New Roman"/>
                <w:noProof/>
                <w:sz w:val="24"/>
                <w:szCs w:val="24"/>
              </w:rPr>
            </w:pPr>
            <w:r>
              <w:rPr>
                <w:rFonts w:ascii="Times New Roman" w:hAnsi="Times New Roman" w:cs="Times New Roman"/>
                <w:noProof/>
                <w:sz w:val="24"/>
                <w:szCs w:val="24"/>
              </w:rPr>
              <w:t>EUROPEAN UNION</w:t>
            </w:r>
          </w:p>
        </w:tc>
      </w:tr>
      <w:tr>
        <w:trPr>
          <w:cantSplit/>
          <w:jc w:val="center"/>
        </w:trPr>
        <w:tc>
          <w:tcPr>
            <w:tcW w:w="1105" w:type="dxa"/>
          </w:tcPr>
          <w:p>
            <w:pPr>
              <w:spacing w:after="0"/>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BY:</w:t>
            </w:r>
          </w:p>
        </w:tc>
        <w:tc>
          <w:tcPr>
            <w:tcW w:w="3653" w:type="dxa"/>
            <w:tcBorders>
              <w:bottom w:val="single" w:sz="4" w:space="0" w:color="auto"/>
            </w:tcBorders>
          </w:tcPr>
          <w:p>
            <w:pPr>
              <w:spacing w:after="0"/>
              <w:rPr>
                <w:rFonts w:ascii="Times New Roman" w:hAnsi="Times New Roman" w:cs="Times New Roman"/>
                <w:noProof/>
                <w:sz w:val="24"/>
                <w:szCs w:val="24"/>
              </w:rPr>
            </w:pPr>
          </w:p>
          <w:p>
            <w:pPr>
              <w:rPr>
                <w:rFonts w:ascii="Times New Roman" w:hAnsi="Times New Roman" w:cs="Times New Roman"/>
                <w:noProof/>
                <w:sz w:val="24"/>
                <w:szCs w:val="24"/>
              </w:rPr>
            </w:pPr>
          </w:p>
        </w:tc>
        <w:tc>
          <w:tcPr>
            <w:tcW w:w="270" w:type="dxa"/>
          </w:tcPr>
          <w:p>
            <w:pPr>
              <w:rPr>
                <w:rFonts w:ascii="Times New Roman" w:hAnsi="Times New Roman" w:cs="Times New Roman"/>
                <w:noProof/>
                <w:sz w:val="24"/>
                <w:szCs w:val="24"/>
              </w:rPr>
            </w:pPr>
          </w:p>
        </w:tc>
        <w:tc>
          <w:tcPr>
            <w:tcW w:w="1117" w:type="dxa"/>
          </w:tcPr>
          <w:p>
            <w:pPr>
              <w:spacing w:after="0"/>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BY:</w:t>
            </w:r>
          </w:p>
        </w:tc>
        <w:tc>
          <w:tcPr>
            <w:tcW w:w="3603" w:type="dxa"/>
            <w:tcBorders>
              <w:bottom w:val="single" w:sz="4" w:space="0" w:color="auto"/>
            </w:tcBorders>
          </w:tcPr>
          <w:p>
            <w:pPr>
              <w:rPr>
                <w:rFonts w:ascii="Times New Roman" w:hAnsi="Times New Roman" w:cs="Times New Roman"/>
                <w:noProof/>
                <w:sz w:val="24"/>
                <w:szCs w:val="24"/>
              </w:rPr>
            </w:pPr>
          </w:p>
        </w:tc>
      </w:tr>
      <w:tr>
        <w:trPr>
          <w:cantSplit/>
          <w:jc w:val="center"/>
        </w:trPr>
        <w:tc>
          <w:tcPr>
            <w:tcW w:w="1105" w:type="dxa"/>
          </w:tcPr>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TITLE:</w:t>
            </w:r>
          </w:p>
        </w:tc>
        <w:tc>
          <w:tcPr>
            <w:tcW w:w="3653" w:type="dxa"/>
          </w:tcPr>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Associate Administrator for Aviation Safety</w:t>
            </w:r>
          </w:p>
        </w:tc>
        <w:tc>
          <w:tcPr>
            <w:tcW w:w="270" w:type="dxa"/>
          </w:tcPr>
          <w:p>
            <w:pPr>
              <w:rPr>
                <w:rFonts w:ascii="Times New Roman" w:hAnsi="Times New Roman" w:cs="Times New Roman"/>
                <w:noProof/>
                <w:sz w:val="24"/>
                <w:szCs w:val="24"/>
              </w:rPr>
            </w:pPr>
          </w:p>
        </w:tc>
        <w:tc>
          <w:tcPr>
            <w:tcW w:w="1117" w:type="dxa"/>
          </w:tcPr>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TITLE:</w:t>
            </w:r>
          </w:p>
        </w:tc>
        <w:tc>
          <w:tcPr>
            <w:tcW w:w="3603" w:type="dxa"/>
          </w:tcPr>
          <w:p>
            <w:pPr>
              <w:rPr>
                <w:rFonts w:ascii="Times New Roman" w:hAnsi="Times New Roman" w:cs="Times New Roman"/>
                <w:noProof/>
                <w:sz w:val="24"/>
                <w:szCs w:val="24"/>
                <w:lang w:val="es-CL"/>
              </w:rPr>
            </w:pPr>
          </w:p>
          <w:p>
            <w:pPr>
              <w:rPr>
                <w:rFonts w:ascii="Times New Roman" w:hAnsi="Times New Roman" w:cs="Times New Roman"/>
                <w:noProof/>
                <w:sz w:val="24"/>
                <w:szCs w:val="24"/>
              </w:rPr>
            </w:pPr>
            <w:r>
              <w:rPr>
                <w:rFonts w:ascii="Times New Roman" w:hAnsi="Times New Roman" w:cs="Times New Roman"/>
                <w:noProof/>
                <w:sz w:val="24"/>
                <w:szCs w:val="24"/>
              </w:rPr>
              <w:t xml:space="preserve">Director, Aviation </w:t>
            </w:r>
          </w:p>
          <w:p>
            <w:pPr>
              <w:rPr>
                <w:rFonts w:ascii="Times New Roman" w:hAnsi="Times New Roman" w:cs="Times New Roman"/>
                <w:noProof/>
                <w:sz w:val="24"/>
                <w:szCs w:val="24"/>
                <w:lang w:val="es-CL"/>
              </w:rPr>
            </w:pPr>
            <w:r>
              <w:rPr>
                <w:rFonts w:ascii="Times New Roman" w:hAnsi="Times New Roman" w:cs="Times New Roman"/>
                <w:noProof/>
                <w:sz w:val="24"/>
                <w:szCs w:val="24"/>
              </w:rPr>
              <w:t>Directorate-General for Mobility and Transport, European Commission</w:t>
            </w:r>
          </w:p>
        </w:tc>
      </w:tr>
      <w:tr>
        <w:trPr>
          <w:cantSplit/>
          <w:trHeight w:val="585"/>
          <w:jc w:val="center"/>
        </w:trPr>
        <w:tc>
          <w:tcPr>
            <w:tcW w:w="1105" w:type="dxa"/>
          </w:tcPr>
          <w:p>
            <w:pPr>
              <w:spacing w:after="0"/>
              <w:rPr>
                <w:rFonts w:ascii="Times New Roman" w:hAnsi="Times New Roman" w:cs="Times New Roman"/>
                <w:noProof/>
                <w:sz w:val="24"/>
                <w:szCs w:val="24"/>
              </w:rPr>
            </w:pPr>
            <w:r>
              <w:rPr>
                <w:rFonts w:ascii="Times New Roman" w:hAnsi="Times New Roman" w:cs="Times New Roman"/>
                <w:noProof/>
                <w:sz w:val="24"/>
                <w:szCs w:val="24"/>
              </w:rPr>
              <w:t>DATE:</w:t>
            </w:r>
          </w:p>
        </w:tc>
        <w:tc>
          <w:tcPr>
            <w:tcW w:w="3653" w:type="dxa"/>
          </w:tcPr>
          <w:p>
            <w:pPr>
              <w:rPr>
                <w:rFonts w:ascii="Times New Roman" w:hAnsi="Times New Roman" w:cs="Times New Roman"/>
                <w:noProof/>
                <w:sz w:val="24"/>
                <w:szCs w:val="24"/>
              </w:rPr>
            </w:pPr>
          </w:p>
        </w:tc>
        <w:tc>
          <w:tcPr>
            <w:tcW w:w="270" w:type="dxa"/>
          </w:tcPr>
          <w:p>
            <w:pPr>
              <w:rPr>
                <w:rFonts w:ascii="Times New Roman" w:hAnsi="Times New Roman" w:cs="Times New Roman"/>
                <w:noProof/>
                <w:sz w:val="24"/>
                <w:szCs w:val="24"/>
              </w:rPr>
            </w:pPr>
          </w:p>
        </w:tc>
        <w:tc>
          <w:tcPr>
            <w:tcW w:w="1117" w:type="dxa"/>
          </w:tcPr>
          <w:p>
            <w:pPr>
              <w:spacing w:after="0"/>
              <w:rPr>
                <w:rFonts w:ascii="Times New Roman" w:hAnsi="Times New Roman" w:cs="Times New Roman"/>
                <w:noProof/>
                <w:sz w:val="24"/>
                <w:szCs w:val="24"/>
              </w:rPr>
            </w:pPr>
            <w:r>
              <w:rPr>
                <w:rFonts w:ascii="Times New Roman" w:hAnsi="Times New Roman" w:cs="Times New Roman"/>
                <w:noProof/>
                <w:sz w:val="24"/>
                <w:szCs w:val="24"/>
              </w:rPr>
              <w:t>DATE:</w:t>
            </w:r>
          </w:p>
        </w:tc>
        <w:tc>
          <w:tcPr>
            <w:tcW w:w="3603" w:type="dxa"/>
          </w:tcPr>
          <w:p>
            <w:pPr>
              <w:rPr>
                <w:rFonts w:ascii="Times New Roman" w:hAnsi="Times New Roman" w:cs="Times New Roman"/>
                <w:noProof/>
                <w:sz w:val="24"/>
                <w:szCs w:val="24"/>
              </w:rPr>
            </w:pPr>
          </w:p>
        </w:tc>
      </w:tr>
      <w:tr>
        <w:trPr>
          <w:cantSplit/>
          <w:trHeight w:val="620"/>
          <w:jc w:val="center"/>
        </w:trPr>
        <w:tc>
          <w:tcPr>
            <w:tcW w:w="1105" w:type="dxa"/>
          </w:tcPr>
          <w:p>
            <w:pPr>
              <w:rPr>
                <w:rFonts w:ascii="Times New Roman" w:hAnsi="Times New Roman" w:cs="Times New Roman"/>
                <w:noProof/>
                <w:sz w:val="24"/>
                <w:szCs w:val="24"/>
              </w:rPr>
            </w:pPr>
            <w:r>
              <w:rPr>
                <w:rFonts w:ascii="Times New Roman" w:hAnsi="Times New Roman" w:cs="Times New Roman"/>
                <w:noProof/>
                <w:sz w:val="24"/>
                <w:szCs w:val="24"/>
              </w:rPr>
              <w:t>PLACE:</w:t>
            </w:r>
          </w:p>
        </w:tc>
        <w:tc>
          <w:tcPr>
            <w:tcW w:w="3653" w:type="dxa"/>
          </w:tcPr>
          <w:p>
            <w:pPr>
              <w:rPr>
                <w:rFonts w:ascii="Times New Roman" w:hAnsi="Times New Roman" w:cs="Times New Roman"/>
                <w:noProof/>
                <w:sz w:val="24"/>
                <w:szCs w:val="24"/>
              </w:rPr>
            </w:pPr>
            <w:r>
              <w:rPr>
                <w:rFonts w:ascii="Times New Roman" w:hAnsi="Times New Roman" w:cs="Times New Roman"/>
                <w:noProof/>
                <w:sz w:val="24"/>
                <w:szCs w:val="24"/>
              </w:rPr>
              <w:t>Washington, DC</w:t>
            </w:r>
          </w:p>
        </w:tc>
        <w:tc>
          <w:tcPr>
            <w:tcW w:w="270" w:type="dxa"/>
          </w:tcPr>
          <w:p>
            <w:pPr>
              <w:rPr>
                <w:rFonts w:ascii="Times New Roman" w:hAnsi="Times New Roman" w:cs="Times New Roman"/>
                <w:noProof/>
                <w:sz w:val="24"/>
                <w:szCs w:val="24"/>
              </w:rPr>
            </w:pPr>
          </w:p>
        </w:tc>
        <w:tc>
          <w:tcPr>
            <w:tcW w:w="1117" w:type="dxa"/>
          </w:tcPr>
          <w:p>
            <w:pPr>
              <w:rPr>
                <w:rFonts w:ascii="Times New Roman" w:hAnsi="Times New Roman" w:cs="Times New Roman"/>
                <w:noProof/>
                <w:sz w:val="24"/>
                <w:szCs w:val="24"/>
              </w:rPr>
            </w:pPr>
            <w:r>
              <w:rPr>
                <w:rFonts w:ascii="Times New Roman" w:hAnsi="Times New Roman" w:cs="Times New Roman"/>
                <w:noProof/>
                <w:sz w:val="24"/>
                <w:szCs w:val="24"/>
              </w:rPr>
              <w:t>PLACE:</w:t>
            </w:r>
          </w:p>
        </w:tc>
        <w:tc>
          <w:tcPr>
            <w:tcW w:w="3603" w:type="dxa"/>
          </w:tcPr>
          <w:p>
            <w:pPr>
              <w:rPr>
                <w:rFonts w:ascii="Times New Roman" w:hAnsi="Times New Roman" w:cs="Times New Roman"/>
                <w:noProof/>
                <w:sz w:val="24"/>
                <w:szCs w:val="24"/>
              </w:rPr>
            </w:pPr>
            <w:r>
              <w:rPr>
                <w:rFonts w:ascii="Times New Roman" w:hAnsi="Times New Roman" w:cs="Times New Roman"/>
                <w:noProof/>
                <w:sz w:val="24"/>
                <w:szCs w:val="24"/>
              </w:rPr>
              <w:t>Brussels, Belgium</w:t>
            </w:r>
          </w:p>
        </w:tc>
      </w:tr>
    </w:tbl>
    <w:p>
      <w:pPr>
        <w:rPr>
          <w:noProof/>
        </w:rPr>
      </w:pPr>
    </w:p>
    <w:p>
      <w:pPr>
        <w:autoSpaceDE w:val="0"/>
        <w:autoSpaceDN w:val="0"/>
        <w:adjustRightInd w:val="0"/>
        <w:spacing w:after="0" w:line="360" w:lineRule="auto"/>
        <w:jc w:val="center"/>
        <w:rPr>
          <w:noProof/>
        </w:rPr>
      </w:pP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14738"/>
    <w:multiLevelType w:val="hybridMultilevel"/>
    <w:tmpl w:val="7898E822"/>
    <w:lvl w:ilvl="0" w:tplc="B0B6A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6CFC310B-FA8D-4901-9B65-26F17219F6EC"/>
    <w:docVar w:name="LW_COVERPAGE_TYPE" w:val="1"/>
    <w:docVar w:name="LW_CROSSREFERENCE" w:val="&lt;UNUSED&gt;"/>
    <w:docVar w:name="LW_DocType" w:val="NORMAL"/>
    <w:docVar w:name="LW_EMISSION" w:val="7.3.2019"/>
    <w:docVar w:name="LW_EMISSION_ISODATE" w:val="2019-03-07"/>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_x000b_on the position to be taken by the European Union within the Bilateral Oversight Board under the Agreement between the United States of America and the European Community on cooperation in the regulation of civil aviation safety, concerning adding Annex 3 to the Agreement_x000b__x000b_"/>
    <w:docVar w:name="LW_PART_NBR" w:val="1"/>
    <w:docVar w:name="LW_PART_NBR_TOTAL" w:val="1"/>
    <w:docVar w:name="LW_REF.INST.NEW" w:val="COM"/>
    <w:docVar w:name="LW_REF.INST.NEW_ADOPTED" w:val="final"/>
    <w:docVar w:name="LW_REF.INST.NEW_TEXT" w:val="(2019)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UNCIL DECISION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218</Words>
  <Characters>1217</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Dipasquantonio, Maria (FAA)</dc:creator>
  <cp:lastModifiedBy>WES PDFC Administrator</cp:lastModifiedBy>
  <cp:revision>10</cp:revision>
  <cp:lastPrinted>2018-05-07T21:20:00Z</cp:lastPrinted>
  <dcterms:created xsi:type="dcterms:W3CDTF">2018-12-03T16:05:00Z</dcterms:created>
  <dcterms:modified xsi:type="dcterms:W3CDTF">2019-03-06T15:33:00Z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