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5EA202-DDD5-4135-A9E3-B6FB505D409D"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of </w:t>
      </w:r>
      <w:r>
        <w:rPr>
          <w:rFonts w:eastAsia="Arial Unicode MS"/>
          <w:noProof/>
        </w:rPr>
        <w:t xml:space="preserve">the Northwest Atlantic Fisheries Organisation (NAFO) </w:t>
      </w:r>
      <w:r>
        <w:rPr>
          <w:rFonts w:eastAsia="Times New Roman"/>
          <w:noProof/>
          <w:lang w:eastAsia="en-GB"/>
        </w:rPr>
        <w:t>for the period 2019</w:t>
      </w:r>
      <w:r>
        <w:rPr>
          <w:rFonts w:eastAsia="Times New Roman"/>
          <w:noProof/>
          <w:lang w:eastAsia="en-GB"/>
        </w:rPr>
        <w:noBreakHyphen/>
        <w:t>2023 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Convention on Cooperation in the Northwest Atlantic Fisheries</w:t>
      </w:r>
    </w:p>
    <w:p>
      <w:pPr>
        <w:rPr>
          <w:noProof/>
        </w:rPr>
      </w:pPr>
      <w:r>
        <w:rPr>
          <w:noProof/>
        </w:rPr>
        <w:t>The Convention on Cooperation in the Northwest Atlantic Fisheries (NAFO Convention) aims, by establishing the</w:t>
      </w:r>
      <w:r>
        <w:rPr>
          <w:rFonts w:eastAsia="Arial Unicode MS"/>
          <w:noProof/>
        </w:rPr>
        <w:t xml:space="preserve"> NAFO, </w:t>
      </w:r>
      <w:r>
        <w:rPr>
          <w:noProof/>
        </w:rPr>
        <w:t xml:space="preserve">to contribute, through consultation and cooperation, to the optimum utilisation, rational management and conservation of the fishery resources of the NAFO Convention area (the regulatory area). The Convention entered into force on 1 January 1979 and has been amended four times. </w:t>
      </w:r>
    </w:p>
    <w:p>
      <w:pPr>
        <w:rPr>
          <w:noProof/>
        </w:rPr>
      </w:pPr>
      <w:r>
        <w:rPr>
          <w:noProof/>
        </w:rPr>
        <w:t>The fourth amendment, which entered into force on 18 May 2017, was designed to modernise NAFO, particularly by:</w:t>
      </w:r>
    </w:p>
    <w:p>
      <w:pPr>
        <w:pStyle w:val="Tiret0"/>
        <w:numPr>
          <w:ilvl w:val="0"/>
          <w:numId w:val="26"/>
        </w:numPr>
        <w:rPr>
          <w:noProof/>
        </w:rPr>
      </w:pPr>
      <w:r>
        <w:rPr>
          <w:noProof/>
        </w:rPr>
        <w:t>incorporating an ecosystem approach to fisheries management;</w:t>
      </w:r>
    </w:p>
    <w:p>
      <w:pPr>
        <w:pStyle w:val="Tiret0"/>
        <w:rPr>
          <w:noProof/>
        </w:rPr>
      </w:pPr>
      <w:r>
        <w:rPr>
          <w:noProof/>
        </w:rPr>
        <w:t>streamlining NAFO’s decision-making process;</w:t>
      </w:r>
    </w:p>
    <w:p>
      <w:pPr>
        <w:pStyle w:val="Tiret0"/>
        <w:rPr>
          <w:noProof/>
        </w:rPr>
      </w:pPr>
      <w:r>
        <w:rPr>
          <w:noProof/>
        </w:rPr>
        <w:t xml:space="preserve">strengthening the obligations of the contracting parties, flag states and port states; and </w:t>
      </w:r>
    </w:p>
    <w:p>
      <w:pPr>
        <w:pStyle w:val="Tiret0"/>
        <w:rPr>
          <w:noProof/>
        </w:rPr>
      </w:pPr>
      <w:r>
        <w:rPr>
          <w:noProof/>
        </w:rPr>
        <w:t>establishing a formal dispute settlement mechanism.</w:t>
      </w:r>
    </w:p>
    <w:p>
      <w:pPr>
        <w:rPr>
          <w:noProof/>
          <w:lang w:eastAsia="en-GB"/>
        </w:rPr>
      </w:pPr>
      <w:r>
        <w:rPr>
          <w:noProof/>
        </w:rPr>
        <w:t xml:space="preserve">The Union is a party to the NAFO Convention, having </w:t>
      </w:r>
      <w:r>
        <w:rPr>
          <w:noProof/>
          <w:lang w:eastAsia="en-GB"/>
        </w:rPr>
        <w:t>approved it p</w:t>
      </w:r>
      <w:r>
        <w:rPr>
          <w:noProof/>
        </w:rPr>
        <w:t xml:space="preserve">ursuant </w:t>
      </w:r>
      <w:r>
        <w:rPr>
          <w:noProof/>
          <w:lang w:eastAsia="en-GB"/>
        </w:rPr>
        <w:t>to Regulation (EEC) No 3179/78</w:t>
      </w:r>
      <w:r>
        <w:rPr>
          <w:rStyle w:val="FootnoteReference"/>
          <w:noProof/>
        </w:rPr>
        <w:footnoteReference w:id="1"/>
      </w:r>
      <w:r>
        <w:rPr>
          <w:noProof/>
          <w:lang w:eastAsia="en-GB"/>
        </w:rPr>
        <w:t>. It ratified the fourth amendment of the Convention by Council Decision 2010/717/EU</w:t>
      </w:r>
      <w:r>
        <w:rPr>
          <w:rStyle w:val="FootnoteReference"/>
          <w:noProof/>
        </w:rPr>
        <w:footnoteReference w:id="2"/>
      </w:r>
      <w:r>
        <w:rPr>
          <w:noProof/>
          <w:lang w:eastAsia="en-GB"/>
        </w:rPr>
        <w:t>.</w:t>
      </w:r>
    </w:p>
    <w:p>
      <w:pPr>
        <w:pStyle w:val="ManualHeading2"/>
        <w:rPr>
          <w:noProof/>
        </w:rPr>
      </w:pPr>
      <w:r>
        <w:t>2.2.</w:t>
      </w:r>
      <w:r>
        <w:tab/>
      </w:r>
      <w:r>
        <w:rPr>
          <w:noProof/>
        </w:rPr>
        <w:t>Commission of the Northwest Atlantic Fisheries Organisation</w:t>
      </w:r>
    </w:p>
    <w:p>
      <w:pPr>
        <w:rPr>
          <w:noProof/>
        </w:rPr>
      </w:pPr>
      <w:r>
        <w:rPr>
          <w:rFonts w:eastAsia="Arial Unicode MS"/>
          <w:noProof/>
        </w:rPr>
        <w:t xml:space="preserve">The </w:t>
      </w:r>
      <w:r>
        <w:rPr>
          <w:noProof/>
        </w:rPr>
        <w:t>Commission of the Northwest Atlantic Fisheries Organisation</w:t>
      </w:r>
      <w:r>
        <w:rPr>
          <w:rFonts w:eastAsia="Arial Unicode MS"/>
          <w:noProof/>
        </w:rPr>
        <w:t xml:space="preserve"> (NAFO Commission) is the body established by the NAFO Convention to be </w:t>
      </w:r>
      <w:r>
        <w:rPr>
          <w:noProof/>
        </w:rPr>
        <w:t>responsible for the management and conservation of fishery resources in the regulatory area. It adopts conservation and enforcement measures to achieve optimum utilisation of the fishery resources under its purview.</w:t>
      </w:r>
    </w:p>
    <w:p>
      <w:pPr>
        <w:rPr>
          <w:rFonts w:eastAsia="Arial Unicode MS"/>
          <w:noProof/>
        </w:rPr>
      </w:pPr>
      <w:r>
        <w:rPr>
          <w:noProof/>
        </w:rPr>
        <w:t>As a member of the NAFO Commission, the Union has participation and voting rights. The NAFO Commission takes its decisions by consensus.</w:t>
      </w:r>
    </w:p>
    <w:p>
      <w:pPr>
        <w:pStyle w:val="ManualHeading2"/>
        <w:rPr>
          <w:noProof/>
        </w:rPr>
      </w:pPr>
      <w:r>
        <w:t>2.3.</w:t>
      </w:r>
      <w:r>
        <w:tab/>
      </w:r>
      <w:r>
        <w:rPr>
          <w:noProof/>
        </w:rPr>
        <w:t>NAFO decisions</w:t>
      </w:r>
    </w:p>
    <w:p>
      <w:pPr>
        <w:rPr>
          <w:rFonts w:eastAsia="Arial Unicode MS"/>
          <w:noProof/>
        </w:rPr>
      </w:pPr>
      <w:r>
        <w:rPr>
          <w:noProof/>
        </w:rPr>
        <w:t>The NAFO Commission has the authority to adopt conservation and enforcement measures for the fisheries under its purview and these are binding on the contracting parties.</w:t>
      </w:r>
    </w:p>
    <w:p>
      <w:pPr>
        <w:rPr>
          <w:noProof/>
        </w:rPr>
      </w:pPr>
      <w:r>
        <w:rPr>
          <w:noProof/>
        </w:rPr>
        <w:lastRenderedPageBreak/>
        <w:t>In accordance with Article XIV.1 of the NAFO Convention, the measures enter into force 60 days after the date on which the contracting parties are notified of them by the NAFO. Any contracting party that presents an objection to a measure within 60 days of being notified is not bound by the measure.</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tier approach. A Council Decision sets out the guiding principles and orientations of the Union’s position on 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t xml:space="preserve">For the NAFO, this approach is implemented by Council Decision </w:t>
      </w:r>
      <w:r>
        <w:rPr>
          <w:bCs/>
          <w:noProof/>
          <w:szCs w:val="24"/>
        </w:rPr>
        <w:t>9449/1/14</w:t>
      </w:r>
      <w:r>
        <w:rPr>
          <w:rFonts w:eastAsia="Times New Roman"/>
          <w:noProof/>
          <w:lang w:eastAsia="en-GB"/>
        </w:rPr>
        <w:t xml:space="preserve"> REV 1 of 19 May 2014, which sets out the Union’s position in the NAFO for the period 2014-2018. The Decision contains general principles and orientations, but also takes into account to the extent possible the specificities of the NAFO.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t xml:space="preserve">Decision </w:t>
      </w:r>
      <w:r>
        <w:rPr>
          <w:bCs/>
          <w:noProof/>
          <w:szCs w:val="24"/>
        </w:rPr>
        <w:t>9449/1/14</w:t>
      </w:r>
      <w:r>
        <w:rPr>
          <w:rFonts w:eastAsia="Times New Roman"/>
          <w:noProof/>
          <w:lang w:eastAsia="en-GB"/>
        </w:rPr>
        <w:t xml:space="preserve"> REV 1 provides for a review of the Union’s position before the 2019 annual meeting. Therefore, this proposal sets out the Union’s position in the NAFO for the period 2019-2023, thereby replacing Decision </w:t>
      </w:r>
      <w:r>
        <w:rPr>
          <w:bCs/>
          <w:noProof/>
          <w:szCs w:val="24"/>
        </w:rPr>
        <w:t>9449/1/14</w:t>
      </w:r>
      <w:r>
        <w:rPr>
          <w:rFonts w:eastAsia="Times New Roman"/>
          <w:noProof/>
          <w:lang w:eastAsia="en-GB"/>
        </w:rPr>
        <w:t xml:space="preserve"> REV 1.</w:t>
      </w:r>
    </w:p>
    <w:p>
      <w:pPr>
        <w:rPr>
          <w:rFonts w:eastAsia="Times New Roman"/>
          <w:noProof/>
          <w:lang w:eastAsia="en-GB"/>
        </w:rPr>
      </w:pPr>
      <w:r>
        <w:rPr>
          <w:rFonts w:eastAsia="Times New Roman"/>
          <w:noProof/>
          <w:lang w:eastAsia="en-GB"/>
        </w:rPr>
        <w:t xml:space="preserve">Decision </w:t>
      </w:r>
      <w:r>
        <w:rPr>
          <w:bCs/>
          <w:noProof/>
          <w:szCs w:val="24"/>
        </w:rPr>
        <w:t>9449/1/14</w:t>
      </w:r>
      <w:r>
        <w:rPr>
          <w:rFonts w:eastAsia="Times New Roman"/>
          <w:noProof/>
          <w:lang w:eastAsia="en-GB"/>
        </w:rPr>
        <w:t xml:space="preserve"> REV 1 incorporated the principles and orientations of the new common fisheries policy (CFP), as laid down in Regulation (EU) No 1380/2013 of the European Parliament and of the Council</w:t>
      </w:r>
      <w:r>
        <w:rPr>
          <w:rStyle w:val="FootnoteReference"/>
          <w:noProof/>
        </w:rPr>
        <w:footnoteReference w:id="3"/>
      </w:r>
      <w:r>
        <w:rPr>
          <w:rFonts w:eastAsia="Times New Roman"/>
          <w:noProof/>
          <w:lang w:eastAsia="en-GB"/>
        </w:rPr>
        <w:t>, also taking into account the objectives set in the Commission Communication on the external dimension of the CFP</w:t>
      </w:r>
      <w:r>
        <w:rPr>
          <w:rStyle w:val="FootnoteReference"/>
          <w:noProof/>
        </w:rPr>
        <w:footnoteReference w:id="4"/>
      </w:r>
      <w:r>
        <w:rPr>
          <w:rFonts w:eastAsia="Times New Roman"/>
          <w:noProof/>
          <w:lang w:eastAsia="en-GB"/>
        </w:rPr>
        <w:t>. Moreover, it adjusted the Union’s position to the Lisbon Treaty.</w:t>
      </w:r>
    </w:p>
    <w:p>
      <w:pPr>
        <w:rPr>
          <w:noProof/>
        </w:rPr>
      </w:pPr>
      <w:r>
        <w:rPr>
          <w:noProof/>
        </w:rPr>
        <w:t xml:space="preserve">The current revision takes into consideration, in connection with impacts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5"/>
      </w:r>
      <w:r>
        <w:rPr>
          <w:noProof/>
        </w:rPr>
        <w:t xml:space="preserve">, the Joint Communication by the High Representative of the Union for Foreign Affairs and Security Policy and the Commission on </w:t>
      </w:r>
      <w:r>
        <w:rPr>
          <w:i/>
          <w:noProof/>
        </w:rPr>
        <w:t>International ocean governance: an agenda for the future of oceans</w:t>
      </w:r>
      <w:r>
        <w:rPr>
          <w:rStyle w:val="FootnoteReference"/>
          <w:noProof/>
        </w:rPr>
        <w:footnoteReference w:id="6"/>
      </w:r>
      <w:r>
        <w:rPr>
          <w:noProof/>
        </w:rPr>
        <w:t xml:space="preserve"> and the Council conclusions on that Joint Communication</w:t>
      </w:r>
      <w:r>
        <w:rPr>
          <w:rStyle w:val="FootnoteReference"/>
          <w:noProof/>
        </w:rPr>
        <w:footnoteReference w:id="7"/>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lastRenderedPageBreak/>
        <w:t>‘Acts having legal effects’ include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8"/>
      </w:r>
      <w:r>
        <w:rPr>
          <w:noProof/>
        </w:rPr>
        <w:t>.</w:t>
      </w:r>
    </w:p>
    <w:p>
      <w:pPr>
        <w:pStyle w:val="ManualHeading3"/>
        <w:rPr>
          <w:noProof/>
        </w:rPr>
      </w:pPr>
      <w:r>
        <w:t>4.1.2.</w:t>
      </w:r>
      <w:r>
        <w:tab/>
      </w:r>
      <w:r>
        <w:rPr>
          <w:noProof/>
        </w:rPr>
        <w:t>Application to the present case</w:t>
      </w:r>
    </w:p>
    <w:p>
      <w:pPr>
        <w:rPr>
          <w:noProof/>
        </w:rPr>
      </w:pPr>
      <w:r>
        <w:rPr>
          <w:noProof/>
        </w:rPr>
        <w:t>The NAFO Commission is a body set up by an agreement, namely the NAFO Convention.</w:t>
      </w:r>
    </w:p>
    <w:p>
      <w:pPr>
        <w:rPr>
          <w:noProof/>
        </w:rPr>
      </w:pPr>
      <w:r>
        <w:rPr>
          <w:noProof/>
        </w:rPr>
        <w:t>The acts that the NAFO Commission is called upon to adopt constitute acts having legal effects. The envisaged acts are to be binding under international law in accordance with Article XIV of the NAFO Convention and are capable of decisively influencing the content of EU legislation, including:</w:t>
      </w:r>
    </w:p>
    <w:p>
      <w:pPr>
        <w:pStyle w:val="Bullet0"/>
        <w:numPr>
          <w:ilvl w:val="0"/>
          <w:numId w:val="27"/>
        </w:numPr>
        <w:rPr>
          <w:noProof/>
        </w:rPr>
      </w:pPr>
      <w:r>
        <w:rPr>
          <w:noProof/>
        </w:rPr>
        <w:t>Council Regulation (EC) No 1005/2008 establishing a Community system to prevent, deter and eliminate illegal, unreported and unregulated (IUU) fishing</w:t>
      </w:r>
      <w:r>
        <w:rPr>
          <w:rStyle w:val="FootnoteReference"/>
          <w:noProof/>
        </w:rPr>
        <w:footnoteReference w:id="9"/>
      </w:r>
      <w:r>
        <w:rPr>
          <w:noProof/>
        </w:rPr>
        <w:t xml:space="preserve">; </w:t>
      </w:r>
    </w:p>
    <w:p>
      <w:pPr>
        <w:pStyle w:val="Bullet0"/>
        <w:rPr>
          <w:noProof/>
        </w:rPr>
      </w:pPr>
      <w:r>
        <w:rPr>
          <w:noProof/>
        </w:rPr>
        <w:t>Council Regulation (EC) No 1224/2009 establishing a Community control system for ensuring compliance with the rules of the Common Fisheries Policy</w:t>
      </w:r>
      <w:r>
        <w:rPr>
          <w:rStyle w:val="FootnoteReference"/>
          <w:noProof/>
        </w:rPr>
        <w:footnoteReference w:id="10"/>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1"/>
      </w:r>
      <w:r>
        <w:rPr>
          <w:noProof/>
        </w:rPr>
        <w:t>.</w:t>
      </w:r>
    </w:p>
    <w:p>
      <w:pPr>
        <w:rPr>
          <w:noProof/>
        </w:rPr>
      </w:pPr>
      <w:r>
        <w:rPr>
          <w:noProof/>
        </w:rPr>
        <w:t>The envisaged acts do not supplement or amend the institutional framework of the NAFO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bCs/>
          <w:noProof/>
          <w:szCs w:val="24"/>
        </w:rPr>
        <w:t>9449/1/14</w:t>
      </w:r>
      <w:r>
        <w:rPr>
          <w:rFonts w:eastAsia="Times New Roman"/>
          <w:noProof/>
          <w:lang w:eastAsia="en-GB"/>
        </w:rPr>
        <w:t xml:space="preserve"> REV 1, </w:t>
      </w:r>
      <w:r>
        <w:rPr>
          <w:noProof/>
        </w:rPr>
        <w:t>which covers the period 2014-2018.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Northwest Atlantic Fisheries Organisation and repealing Decision 9449/1/14 REV 1</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By Regulation (EEC) No 3179/78</w:t>
      </w:r>
      <w:r>
        <w:rPr>
          <w:rStyle w:val="FootnoteReference"/>
          <w:noProof/>
        </w:rPr>
        <w:footnoteReference w:id="12"/>
      </w:r>
      <w:r>
        <w:rPr>
          <w:noProof/>
          <w:lang w:eastAsia="en-GB"/>
        </w:rPr>
        <w:t xml:space="preserve">, the European Union concluded the </w:t>
      </w:r>
      <w:r>
        <w:rPr>
          <w:noProof/>
        </w:rPr>
        <w:t>Convention on Cooperation in the Northwest Atlantic Fisheries</w:t>
      </w:r>
      <w:r>
        <w:rPr>
          <w:noProof/>
          <w:lang w:eastAsia="en-GB"/>
        </w:rPr>
        <w:t xml:space="preserve"> (NAFO Convention), which established the Northwest Atlantic Fisheries Organisation (NAFO). Pursuant to Council Decision 2010/717/EU of 8 November 2010</w:t>
      </w:r>
      <w:r>
        <w:rPr>
          <w:rStyle w:val="FootnoteReference"/>
          <w:noProof/>
        </w:rPr>
        <w:footnoteReference w:id="13"/>
      </w:r>
      <w:r>
        <w:rPr>
          <w:noProof/>
          <w:lang w:eastAsia="en-GB"/>
        </w:rPr>
        <w:t>, the Union concluded the fourth amendment to the NAFO Convention that established the Commission of the Northwest Atlantic Fisheries Organisation (NAFO Commission).</w:t>
      </w:r>
    </w:p>
    <w:p>
      <w:pPr>
        <w:pStyle w:val="ManualConsidrant"/>
        <w:rPr>
          <w:noProof/>
        </w:rPr>
      </w:pPr>
      <w:r>
        <w:t>(2)</w:t>
      </w:r>
      <w:r>
        <w:tab/>
      </w:r>
      <w:r>
        <w:rPr>
          <w:noProof/>
          <w:lang w:eastAsia="en-GB"/>
        </w:rPr>
        <w:t>The NAFO Commission is responsible for the adoption of measures designed to ensure the long-term conservation and sustainable use of the fishery resources in the NAFO Convention area (the regulatory Area) and to safeguard the marine eco-systems in which these resources occur.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4"/>
      </w:r>
      <w:r>
        <w:rPr>
          <w:noProof/>
          <w:sz w:val="16"/>
          <w:szCs w:val="16"/>
        </w:rPr>
        <w:t xml:space="preserve"> </w:t>
      </w:r>
      <w:r>
        <w:rPr>
          <w:noProof/>
        </w:rPr>
        <w:t xml:space="preserve">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w:t>
      </w:r>
      <w:r>
        <w:rPr>
          <w:noProof/>
        </w:rPr>
        <w:lastRenderedPageBreak/>
        <w:t>marine ecosystem and fishery resources. Besides, Regulation (EU) No 1380/2013 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5"/>
      </w:r>
      <w:r>
        <w:rPr>
          <w:noProof/>
        </w:rPr>
        <w:t>, and the Council conclusions on that Joint communication</w:t>
      </w:r>
      <w:r>
        <w:rPr>
          <w:rStyle w:val="FootnoteReference"/>
          <w:noProof/>
        </w:rPr>
        <w:footnoteReference w:id="16"/>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7"/>
      </w:r>
      <w:r>
        <w:rPr>
          <w:noProof/>
        </w:rPr>
        <w:t>, refers to specific measures to reduce plastics and marine pollution as well as the loss or abandonment at sea of fishing gear.</w:t>
      </w:r>
    </w:p>
    <w:p>
      <w:pPr>
        <w:pStyle w:val="ManualConsidrant"/>
        <w:rPr>
          <w:noProof/>
        </w:rPr>
      </w:pPr>
      <w:r>
        <w:t>(6)</w:t>
      </w:r>
      <w:r>
        <w:tab/>
      </w:r>
      <w:r>
        <w:rPr>
          <w:noProof/>
        </w:rPr>
        <w:t xml:space="preserve">It is appropriate to establish the position to be taken on the Union’s behalf in the meetings of the NAFO Commission for the period 2019-2024, and to repeal Council Decision </w:t>
      </w:r>
      <w:r>
        <w:rPr>
          <w:bCs/>
          <w:noProof/>
          <w:szCs w:val="24"/>
        </w:rPr>
        <w:t>9449/1/14</w:t>
      </w:r>
      <w:r>
        <w:rPr>
          <w:rFonts w:eastAsia="Times New Roman"/>
          <w:noProof/>
          <w:lang w:eastAsia="en-GB"/>
        </w:rPr>
        <w:t xml:space="preserve"> </w:t>
      </w:r>
      <w:r>
        <w:rPr>
          <w:noProof/>
        </w:rPr>
        <w:t>REV 1</w:t>
      </w:r>
      <w:r>
        <w:rPr>
          <w:rStyle w:val="FootnoteReference"/>
          <w:noProof/>
        </w:rPr>
        <w:footnoteReference w:id="18"/>
      </w:r>
      <w:r>
        <w:rPr>
          <w:noProof/>
        </w:rPr>
        <w:t>, as the NAFO conservation and enforcement measures will be binding on the Union and capable of decisively influencing the content of Union law, namely, Council Regulation (EC) No 1005/2008</w:t>
      </w:r>
      <w:r>
        <w:rPr>
          <w:rStyle w:val="FootnoteReference"/>
          <w:noProof/>
        </w:rPr>
        <w:footnoteReference w:id="19"/>
      </w:r>
      <w:r>
        <w:rPr>
          <w:noProof/>
        </w:rPr>
        <w:t>; Council Regulation (EC) No 1224/2009</w:t>
      </w:r>
      <w:r>
        <w:rPr>
          <w:rStyle w:val="FootnoteReference"/>
          <w:noProof/>
        </w:rPr>
        <w:footnoteReference w:id="20"/>
      </w:r>
      <w:r>
        <w:rPr>
          <w:noProof/>
        </w:rPr>
        <w:t>; and Regulation (EU) 2017/2403 of the European Parliament and of the Council</w:t>
      </w:r>
      <w:r>
        <w:rPr>
          <w:rStyle w:val="FootnoteReference"/>
          <w:noProof/>
        </w:rPr>
        <w:footnoteReference w:id="21"/>
      </w:r>
      <w:r>
        <w:rPr>
          <w:noProof/>
        </w:rPr>
        <w:t>.</w:t>
      </w:r>
    </w:p>
    <w:p>
      <w:pPr>
        <w:pStyle w:val="ManualConsidrant"/>
        <w:rPr>
          <w:noProof/>
        </w:rPr>
      </w:pPr>
      <w:r>
        <w:t>(7)</w:t>
      </w:r>
      <w:r>
        <w:tab/>
      </w:r>
      <w:r>
        <w:rPr>
          <w:noProof/>
        </w:rPr>
        <w:t>In view of the evolving nature of fishery resources in the Regulatory Area and the consequent need for the position of the Union to take account of new developments, including new scientific and other relevant information presented before or during the meetings of the NAFO Commission, procedures should be established, in line with the principle of sincere cooperation among the Union institutions enshrined in Article 13(2) of the Treaty on the European Union (TEU), for the year-to-year specification of the Union’s position for the period 2019-2023.</w:t>
      </w:r>
    </w:p>
    <w:p>
      <w:pPr>
        <w:pStyle w:val="Formuledadoption"/>
        <w:rPr>
          <w:noProof/>
        </w:rPr>
      </w:pPr>
      <w:r>
        <w:rPr>
          <w:noProof/>
        </w:rPr>
        <w:lastRenderedPageBreak/>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 xml:space="preserve">The position to be taken on the Union’s behalf in the meetings of the </w:t>
      </w:r>
      <w:r>
        <w:rPr>
          <w:rFonts w:eastAsia="Times New Roman"/>
          <w:noProof/>
          <w:szCs w:val="20"/>
          <w:lang w:eastAsia="en-GB"/>
        </w:rPr>
        <w:t>Northwest Atlantic Fisheries Organisation (</w:t>
      </w:r>
      <w:r>
        <w:rPr>
          <w:noProof/>
          <w:szCs w:val="24"/>
        </w:rPr>
        <w:t>NAFO) Commission is set out in Annex I.</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NAFO Commission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NAFO Commission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9449/1/14</w:t>
      </w:r>
      <w:r>
        <w:rPr>
          <w:rFonts w:eastAsia="Times New Roman"/>
          <w:noProof/>
          <w:lang w:eastAsia="en-GB"/>
        </w:rPr>
        <w:t xml:space="preserve"> REV 1 of 19 May 2014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09" w:hanging="709"/>
      </w:pPr>
      <w:r>
        <w:rPr>
          <w:rStyle w:val="FootnoteReference"/>
        </w:rPr>
        <w:footnoteRef/>
      </w:r>
      <w:r>
        <w:tab/>
      </w:r>
      <w:r>
        <w:rPr>
          <w:sz w:val="20"/>
          <w:szCs w:val="20"/>
        </w:rPr>
        <w:t>Council Regulation (EEC) No 3179/78 of 28 December 1978 concerning the conclusion by the European Economic Community of the Convention on Future Multilateral Cooperation in the Northwest Atlantic Fisheries (OJ L 378, 30.12.1978, p. 1).</w:t>
      </w:r>
    </w:p>
  </w:footnote>
  <w:footnote w:id="2">
    <w:p>
      <w:pPr>
        <w:pStyle w:val="FootnoteText"/>
      </w:pPr>
      <w:r>
        <w:rPr>
          <w:rStyle w:val="FootnoteReference"/>
        </w:rPr>
        <w:footnoteRef/>
      </w:r>
      <w:r>
        <w:tab/>
        <w:t>Council Decision 2010/717/EU of 8 November 2010 on the approval, on behalf of the European Union, of the Amendment to the Convention on Future Multilateral Cooperation in the Northwest Atlantic Fisheries (OJ L 321, 7.12.2010, p. 1).</w:t>
      </w:r>
    </w:p>
  </w:footnote>
  <w:footnote w:id="3">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pPr>
      <w:r>
        <w:rPr>
          <w:rStyle w:val="FootnoteReference"/>
        </w:rPr>
        <w:footnoteRef/>
      </w:r>
      <w:r>
        <w:tab/>
        <w:t xml:space="preserve">COM(2011) 424, </w:t>
      </w:r>
      <w:r>
        <w:rPr>
          <w:szCs w:val="24"/>
        </w:rPr>
        <w:t>13.7.2011.</w:t>
      </w:r>
    </w:p>
  </w:footnote>
  <w:footnote w:id="5">
    <w:p>
      <w:pPr>
        <w:pStyle w:val="FootnoteText"/>
      </w:pPr>
      <w:r>
        <w:rPr>
          <w:rStyle w:val="FootnoteReference"/>
        </w:rPr>
        <w:footnoteRef/>
      </w:r>
      <w:r>
        <w:tab/>
        <w:t>COM(2018) 28 final, 16.1.2018.</w:t>
      </w:r>
    </w:p>
  </w:footnote>
  <w:footnote w:id="6">
    <w:p>
      <w:pPr>
        <w:pStyle w:val="FootnoteText"/>
      </w:pPr>
      <w:r>
        <w:rPr>
          <w:rStyle w:val="FootnoteReference"/>
        </w:rPr>
        <w:footnoteRef/>
      </w:r>
      <w:r>
        <w:tab/>
        <w:t>JOIN(2016) 49 final, 10.11.2016.</w:t>
      </w:r>
    </w:p>
  </w:footnote>
  <w:footnote w:id="7">
    <w:p>
      <w:pPr>
        <w:pStyle w:val="FootnoteText"/>
      </w:pPr>
      <w:r>
        <w:rPr>
          <w:rStyle w:val="FootnoteReference"/>
        </w:rPr>
        <w:footnoteRef/>
      </w:r>
      <w:r>
        <w:tab/>
        <w:t>7348/1/17 REV 1, 24.3.2017.</w:t>
      </w:r>
    </w:p>
  </w:footnote>
  <w:footnote w:id="8">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9">
    <w:p>
      <w:pPr>
        <w:pStyle w:val="FootnoteText"/>
      </w:pPr>
      <w:r>
        <w:rPr>
          <w:rStyle w:val="FootnoteReference"/>
        </w:rPr>
        <w:footnoteRef/>
      </w:r>
      <w:r>
        <w:tab/>
        <w:t>OJ L 286, 29.10.2008, p. 1.</w:t>
      </w:r>
    </w:p>
  </w:footnote>
  <w:footnote w:id="10">
    <w:p>
      <w:pPr>
        <w:pStyle w:val="FootnoteText"/>
      </w:pPr>
      <w:r>
        <w:rPr>
          <w:rStyle w:val="FootnoteReference"/>
        </w:rPr>
        <w:footnoteRef/>
      </w:r>
      <w:r>
        <w:tab/>
        <w:t>OJ L 343, 22.12.2009, p. 1.</w:t>
      </w:r>
    </w:p>
  </w:footnote>
  <w:footnote w:id="11">
    <w:p>
      <w:pPr>
        <w:pStyle w:val="FootnoteText"/>
      </w:pPr>
      <w:r>
        <w:rPr>
          <w:rStyle w:val="FootnoteReference"/>
        </w:rPr>
        <w:footnoteRef/>
      </w:r>
      <w:r>
        <w:tab/>
        <w:t>OJ L 347, 28.12.2017, p. 81.</w:t>
      </w:r>
    </w:p>
  </w:footnote>
  <w:footnote w:id="12">
    <w:p>
      <w:pPr>
        <w:pStyle w:val="FootnoteText"/>
      </w:pPr>
      <w:r>
        <w:rPr>
          <w:rStyle w:val="FootnoteReference"/>
        </w:rPr>
        <w:footnoteRef/>
      </w:r>
      <w:r>
        <w:tab/>
        <w:t>Council Regulation (EEC) No 3179/78 of 28 December 1978 concerning the conclusion by the European Economic Community of the Convention on Future Multilateral Cooperation in the Northwest Atlantic Fisheries (OJ L 378, 30.12.1978, p. 1).</w:t>
      </w:r>
    </w:p>
  </w:footnote>
  <w:footnote w:id="13">
    <w:p>
      <w:pPr>
        <w:pStyle w:val="FootnoteText"/>
      </w:pPr>
      <w:r>
        <w:rPr>
          <w:rStyle w:val="FootnoteReference"/>
        </w:rPr>
        <w:footnoteRef/>
      </w:r>
      <w:r>
        <w:tab/>
        <w:t>Council Decision 2010/717/EU of 8 November 2010 on the approval, on behalf of the European Union, of the Amendment to the Convention on Future Multilateral Cooperation in the Northwest Atlantic Fisheries, OJ L 321, 7.12.2010, p. 1-19.</w:t>
      </w:r>
    </w:p>
  </w:footnote>
  <w:footnote w:id="14">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5">
    <w:p>
      <w:pPr>
        <w:pStyle w:val="FootnoteText"/>
      </w:pPr>
      <w:r>
        <w:rPr>
          <w:rStyle w:val="FootnoteReference"/>
        </w:rPr>
        <w:footnoteRef/>
      </w:r>
      <w:r>
        <w:tab/>
        <w:t>JOIN(2016) 49 final of 10.11.2016.</w:t>
      </w:r>
    </w:p>
  </w:footnote>
  <w:footnote w:id="16">
    <w:p>
      <w:pPr>
        <w:pStyle w:val="FootnoteText"/>
      </w:pPr>
      <w:r>
        <w:rPr>
          <w:rStyle w:val="FootnoteReference"/>
        </w:rPr>
        <w:footnoteRef/>
      </w:r>
      <w:r>
        <w:tab/>
        <w:t>7348/1/17 REV 1 of 24.3.2017.</w:t>
      </w:r>
    </w:p>
  </w:footnote>
  <w:footnote w:id="17">
    <w:p>
      <w:pPr>
        <w:pStyle w:val="FootnoteText"/>
      </w:pPr>
      <w:r>
        <w:rPr>
          <w:rStyle w:val="FootnoteReference"/>
        </w:rPr>
        <w:footnoteRef/>
      </w:r>
      <w:r>
        <w:tab/>
        <w:t>COM(2018) 28 final, 16.1.2018.</w:t>
      </w:r>
    </w:p>
  </w:footnote>
  <w:footnote w:id="18">
    <w:p>
      <w:pPr>
        <w:pStyle w:val="FootnoteText"/>
      </w:pPr>
      <w:r>
        <w:rPr>
          <w:rStyle w:val="FootnoteReference"/>
        </w:rPr>
        <w:footnoteRef/>
      </w:r>
      <w:r>
        <w:tab/>
        <w:t>Council Decision of 19 May 2014 on the position to be adopted, on behalf of the European Union, in the Northwest Atlantic Fisheries Organisation.</w:t>
      </w:r>
    </w:p>
  </w:footnote>
  <w:footnote w:id="19">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20">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21">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5"/>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6"/>
  </w:num>
  <w:num w:numId="25">
    <w:abstractNumId w:val="22"/>
  </w:num>
  <w:num w:numId="26">
    <w:abstractNumId w:val="19"/>
    <w:lvlOverride w:ilvl="0">
      <w:startOverride w:val="1"/>
    </w:lvlOverride>
  </w:num>
  <w:num w:numId="27">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11:31: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E5EA202-DDD5-4135-A9E3-B6FB505D409D"/>
    <w:docVar w:name="LW_COVERPAGE_TYPE" w:val="1"/>
    <w:docVar w:name="LW_CROSSREFERENCE" w:val="&lt;UNUSED&gt;"/>
    <w:docVar w:name="LW_DocType" w:val="COM"/>
    <w:docVar w:name="LW_EMISSION" w:val="7.3.2019"/>
    <w:docVar w:name="LW_EMISSION_ISODATE" w:val="2019-03-07"/>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1"/>
    <w:docVar w:name="LW_REF.II.NEW.CP_YEAR" w:val="2019"/>
    <w:docVar w:name="LW_REF.INST.NEW" w:val="COM"/>
    <w:docVar w:name="LW_REF.INST.NEW_ADOPTED" w:val="final"/>
    <w:docVar w:name="LW_REF.INST.NEW_TEXT" w:val="(2019)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Northwest Atlantic Fisheries Organisation and repealing Decision 9449/1/14 REV 1"/>
    <w:docVar w:name="LW_TYPE.DOC.CP" w:val="COUNCIL DECISION"/>
    <w:docVar w:name="Stamp" w:val="\\dossiers.dgt.cec.eu.int\dossiers\MARE\MARE-2018-00541\MARE-2018-00541-00-07-EN-EDT-00.20181207113754403358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3F8A-07E0-4D38-ACC0-F7F2B9D4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1965</Words>
  <Characters>10634</Characters>
  <Application>Microsoft Office Word</Application>
  <DocSecurity>0</DocSecurity>
  <Lines>189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2019-01-04T09:55:00Z</dcterms:created>
  <dcterms:modified xsi:type="dcterms:W3CDTF">2019-03-06T10:31:00Z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