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11F097C-5106-4C09-A1AB-891E0D5F528F"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Header"/>
        <w:rPr>
          <w:noProof/>
        </w:rPr>
      </w:pPr>
      <w:r>
        <w:rPr>
          <w:noProof/>
        </w:rPr>
        <w:t xml:space="preserve">The position to be taken on the Union’s behalf in the Northwest Atlantic Fisheries Organisation (NAFO) </w:t>
      </w:r>
    </w:p>
    <w:p>
      <w:pPr>
        <w:pStyle w:val="Heading1"/>
        <w:numPr>
          <w:ilvl w:val="0"/>
          <w:numId w:val="5"/>
        </w:numPr>
        <w:rPr>
          <w:noProof/>
        </w:rPr>
      </w:pPr>
      <w:r>
        <w:rPr>
          <w:noProof/>
        </w:rPr>
        <w:t>PRINCIPLES</w:t>
      </w:r>
    </w:p>
    <w:p>
      <w:pPr>
        <w:rPr>
          <w:noProof/>
        </w:rPr>
      </w:pPr>
      <w:r>
        <w:rPr>
          <w:noProof/>
        </w:rPr>
        <w:t>In the framework of the NAFO,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and limiting environmental impacts of fishing activities,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take account of the interests of consumers;</w:t>
      </w:r>
    </w:p>
    <w:p>
      <w:pPr>
        <w:pStyle w:val="Point0"/>
        <w:rPr>
          <w:noProof/>
        </w:rPr>
      </w:pPr>
      <w:r>
        <w:rPr>
          <w:noProof/>
        </w:rPr>
        <w:t xml:space="preserve">b) </w:t>
      </w:r>
      <w:r>
        <w:rPr>
          <w:noProof/>
        </w:rPr>
        <w:tab/>
        <w:t>work towards an appropriate involvement of stakeholders in the preparation phase for NAFO measures and ensure that measures adopted within the NAFO Commission are in accordance with the NAFO Convention;</w:t>
      </w:r>
    </w:p>
    <w:p>
      <w:pPr>
        <w:pStyle w:val="Point0"/>
        <w:rPr>
          <w:noProof/>
        </w:rPr>
      </w:pPr>
      <w:r>
        <w:rPr>
          <w:noProof/>
        </w:rPr>
        <w:t xml:space="preserve">c) </w:t>
      </w:r>
      <w:r>
        <w:rPr>
          <w:noProof/>
        </w:rPr>
        <w:tab/>
        <w:t>ensure that measures adopted within the NAFO Commission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NAFO regulatory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be in line with the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measures to support and enhance the effectiveness of the NAFO and, where relevant, improve its governance and performance (in particular as regards science, compliance, transparency and decision-making) as a contribution to the sustainable management of oceans in all its dimensions;</w:t>
      </w:r>
    </w:p>
    <w:p>
      <w:pPr>
        <w:pStyle w:val="Point0"/>
        <w:rPr>
          <w:noProof/>
          <w:szCs w:val="24"/>
        </w:rPr>
      </w:pPr>
      <w:r>
        <w:rPr>
          <w:noProof/>
          <w:szCs w:val="24"/>
        </w:rPr>
        <w:t xml:space="preserve">j) </w:t>
      </w:r>
      <w:r>
        <w:rPr>
          <w:noProof/>
          <w:szCs w:val="24"/>
        </w:rPr>
        <w:tab/>
        <w:t>promote coordination between RFMOs and regional sea conventions (RSCs) and cooperation with global organisations, as applicable, within their mandates, where appropriate;</w:t>
      </w:r>
    </w:p>
    <w:p>
      <w:pPr>
        <w:pStyle w:val="Point0"/>
        <w:rPr>
          <w:noProof/>
          <w:szCs w:val="24"/>
        </w:rPr>
      </w:pPr>
      <w:r>
        <w:rPr>
          <w:noProof/>
          <w:szCs w:val="24"/>
        </w:rPr>
        <w:t>k)</w:t>
      </w:r>
      <w:r>
        <w:rPr>
          <w:rFonts w:ascii="TimesNewRomanPSMT" w:hAnsi="TimesNewRomanPSMT" w:cs="TimesNewRomanPSMT"/>
          <w:noProof/>
          <w:szCs w:val="24"/>
        </w:rPr>
        <w:tab/>
      </w:r>
      <w:r>
        <w:rPr>
          <w:noProof/>
        </w:rPr>
        <w:t xml:space="preserve">promote </w:t>
      </w:r>
      <w:r>
        <w:rPr>
          <w:noProof/>
          <w:szCs w:val="24"/>
        </w:rPr>
        <w:t>cooperation mechanisms amongst non-tuna RFMOs similar to the so-called Kobe process for tuna RFMOs.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NAFO:</w:t>
      </w:r>
    </w:p>
    <w:p>
      <w:pPr>
        <w:pStyle w:val="Point0"/>
        <w:rPr>
          <w:noProof/>
        </w:rPr>
      </w:pPr>
      <w:r>
        <w:rPr>
          <w:noProof/>
        </w:rPr>
        <w:t xml:space="preserve">a) </w:t>
      </w:r>
      <w:r>
        <w:rPr>
          <w:noProof/>
        </w:rPr>
        <w:tab/>
        <w:t>conservation and management measures for fisheries resources in the NAFO regulatory area based on the best scientific advice available, and the precautionary approach including Total Allowable Catches (TACs) and quotas or effort regulation for living marine biological resources regulated by the NAFO, which would achieve the maximum sustainable yield exploitation rate on a progressive, incremental basis at the latest by 2020. Where necessary, specific measures for stocks, which suffer from overfishing shall be considered in order to keep the fishing effort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regulatory area, including IUU vessel listing;</w:t>
      </w:r>
    </w:p>
    <w:p>
      <w:pPr>
        <w:pStyle w:val="Point0"/>
        <w:rPr>
          <w:noProof/>
        </w:rPr>
      </w:pPr>
      <w:r>
        <w:rPr>
          <w:noProof/>
        </w:rPr>
        <w:t xml:space="preserve">c) </w:t>
      </w:r>
      <w:r>
        <w:rPr>
          <w:noProof/>
        </w:rPr>
        <w:tab/>
        <w:t>monitoring, control and surveillance measures in the NAFO regulatory area in order to ensure efficiency of control and compliance with measures adopted within the NAFO;</w:t>
      </w:r>
    </w:p>
    <w:p>
      <w:pPr>
        <w:pStyle w:val="Point0"/>
        <w:rPr>
          <w:noProof/>
        </w:rPr>
      </w:pPr>
      <w:r>
        <w:rPr>
          <w:noProof/>
        </w:rPr>
        <w:t xml:space="preserve">d) </w:t>
      </w:r>
      <w:r>
        <w:rPr>
          <w:noProof/>
        </w:rPr>
        <w:tab/>
        <w:t>measures to minimise the negative impact of fishing activities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regulatory area in line with the NAFO Convention, while taking into account the FAO International Guidelines for the Management of Deep-sea Fisheries in the High Seas, measures to avoid and reduce as far as possible unwanted catches, including in particular vulnerable marine species, and to gradually eliminate discards;</w:t>
      </w:r>
    </w:p>
    <w:p>
      <w:pPr>
        <w:pStyle w:val="Point0"/>
        <w:rPr>
          <w:noProof/>
        </w:rPr>
      </w:pPr>
      <w:r>
        <w:rPr>
          <w:noProof/>
        </w:rPr>
        <w:t>e)</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f) </w:t>
      </w:r>
      <w:r>
        <w:rPr>
          <w:noProof/>
        </w:rPr>
        <w:tab/>
        <w:t>measures aimed at the prohibition of fisheries conducted solely for the purpose of harvesting shark fins and requiring that all sharks are landed with each fin naturally attached;</w:t>
      </w:r>
    </w:p>
    <w:p>
      <w:pPr>
        <w:pStyle w:val="Point0"/>
        <w:rPr>
          <w:noProof/>
        </w:rPr>
      </w:pPr>
      <w:r>
        <w:rPr>
          <w:noProof/>
        </w:rPr>
        <w:t>g)</w:t>
      </w:r>
      <w:r>
        <w:rPr>
          <w:noProof/>
        </w:rPr>
        <w:tab/>
        <w:t>common approaches with other RFMOs, where appropriate, in particular those involved in fisheries management in the same region;</w:t>
      </w:r>
    </w:p>
    <w:p>
      <w:pPr>
        <w:pStyle w:val="Point0"/>
        <w:rPr>
          <w:noProof/>
        </w:rPr>
      </w:pPr>
      <w:r>
        <w:rPr>
          <w:noProof/>
        </w:rPr>
        <w:t>h)</w:t>
      </w:r>
      <w:r>
        <w:rPr>
          <w:noProof/>
        </w:rPr>
        <w:tab/>
        <w:t>developing approaches related to tackling impacts of non-fishing activities on the marine biological resources in the regulatory area;</w:t>
      </w:r>
    </w:p>
    <w:p>
      <w:pPr>
        <w:pStyle w:val="Point0"/>
        <w:rPr>
          <w:noProof/>
        </w:rPr>
      </w:pPr>
      <w:r>
        <w:rPr>
          <w:noProof/>
        </w:rPr>
        <w:t>i)</w:t>
      </w:r>
      <w:r>
        <w:rPr>
          <w:noProof/>
        </w:rPr>
        <w:tab/>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j)</w:t>
      </w:r>
      <w:r>
        <w:rPr>
          <w:noProof/>
        </w:rPr>
        <w:tab/>
        <w:t xml:space="preserve">additional technical measures based on advice from the subsidiary bodies and working groups of NAFO.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t>ANNEX II</w:t>
      </w:r>
    </w:p>
    <w:p>
      <w:pPr>
        <w:jc w:val="center"/>
        <w:rPr>
          <w:rFonts w:eastAsia="Calibri"/>
          <w:b/>
          <w:noProof/>
          <w:szCs w:val="20"/>
          <w:u w:val="single"/>
          <w:lang w:eastAsia="en-GB"/>
        </w:rPr>
      </w:pPr>
      <w:r>
        <w:rPr>
          <w:rFonts w:eastAsia="Calibri"/>
          <w:b/>
          <w:noProof/>
          <w:szCs w:val="20"/>
          <w:u w:val="single"/>
          <w:lang w:eastAsia="en-GB"/>
        </w:rPr>
        <w:t xml:space="preserve">Year to year specification of the Union’s position to be taken </w:t>
      </w:r>
    </w:p>
    <w:p>
      <w:pPr>
        <w:jc w:val="center"/>
        <w:rPr>
          <w:rFonts w:eastAsia="Calibri"/>
          <w:b/>
          <w:noProof/>
          <w:szCs w:val="20"/>
          <w:u w:val="single"/>
          <w:lang w:eastAsia="en-GB"/>
        </w:rPr>
      </w:pPr>
      <w:r>
        <w:rPr>
          <w:rFonts w:eastAsia="Calibri"/>
          <w:b/>
          <w:noProof/>
          <w:szCs w:val="20"/>
          <w:u w:val="single"/>
          <w:lang w:eastAsia="en-GB"/>
        </w:rPr>
        <w:t xml:space="preserve">at meetings of the Northwest Atlantic Fisheries Organisation </w:t>
      </w:r>
    </w:p>
    <w:p>
      <w:pPr>
        <w:jc w:val="center"/>
        <w:rPr>
          <w:rFonts w:eastAsia="Calibri"/>
          <w:b/>
          <w:i/>
          <w:strike/>
          <w:noProof/>
          <w:szCs w:val="20"/>
          <w:u w:val="single"/>
          <w:lang w:eastAsia="en-GB"/>
        </w:rPr>
      </w:pPr>
    </w:p>
    <w:p>
      <w:pPr>
        <w:rPr>
          <w:rFonts w:eastAsia="Calibri"/>
          <w:noProof/>
          <w:szCs w:val="20"/>
          <w:lang w:eastAsia="en-GB"/>
        </w:rPr>
      </w:pPr>
      <w:r>
        <w:rPr>
          <w:rFonts w:eastAsia="Calibri"/>
          <w:noProof/>
          <w:szCs w:val="20"/>
          <w:lang w:eastAsia="en-GB"/>
        </w:rPr>
        <w:t>Before each meeting of the NAFO Commission, when that body is called upon to adopt decisions having legal effects 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meeting of the NAFO Commission, a written document setting out the particulars of the proposed specification of the Union’s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 NAFO Commission meeting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7CE7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6B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487A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B82250"/>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6 10:34: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411F097C-5106-4C09-A1AB-891E0D5F528F"/>
    <w:docVar w:name="LW_COVERPAGE_TYPE" w:val="1"/>
    <w:docVar w:name="LW_CROSSREFERENCE" w:val="&lt;UNUSED&gt;"/>
    <w:docVar w:name="LW_DocType" w:val="ANNEX"/>
    <w:docVar w:name="LW_EMISSION" w:val="7.3.2019"/>
    <w:docVar w:name="LW_EMISSION_ISODATE" w:val="2019-03-07"/>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Northwest Atlantic Fisheries Organisation and repealing Decision 9449/1/14 REV 1 "/>
    <w:docVar w:name="LW_OBJETACTEPRINCIPAL.CP" w:val="concerning the position to be taken on behalf of the European Union in the Northwest Atlantic Fisheries Organisation and repealing Decision 9449/1/14 REV 1 "/>
    <w:docVar w:name="LW_PART_NBR" w:val="&lt;UNUSED&gt;"/>
    <w:docVar w:name="LW_PART_NBR_TOTAL" w:val="&lt;UNUSED&gt;"/>
    <w:docVar w:name="LW_REF.INST.NEW" w:val="COM"/>
    <w:docVar w:name="LW_REF.INST.NEW_ADOPTED" w:val="final"/>
    <w:docVar w:name="LW_REF.INST.NEW_TEXT" w:val="(2019)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1122</Words>
  <Characters>6253</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2019-02-26T09:45:00Z</dcterms:created>
  <dcterms:modified xsi:type="dcterms:W3CDTF">2019-03-06T10:34:00Z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