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5DA7B1-8A5C-4A66-A356-E2739FE771A0" style="width:450.55pt;height:37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autoSpaceDE w:val="0"/>
        <w:autoSpaceDN w:val="0"/>
        <w:adjustRightInd w:val="0"/>
        <w:spacing w:before="0" w:after="0"/>
        <w:rPr>
          <w:rFonts w:ascii="TimesNewRomanPSMT" w:hAnsi="TimesNewRomanPSMT" w:cs="TimesNewRomanPSMT"/>
          <w:noProof/>
          <w:szCs w:val="24"/>
        </w:rPr>
      </w:pPr>
      <w:r>
        <w:rPr>
          <w:noProof/>
        </w:rPr>
        <w:t>Настоящото предложение се отнася до решение за установяване на позицията, която трябва да се заеме от името на Съюза на заседанията на Междуамериканската комисия за тропическа риба тон (IATTC) и на Срещата на страните по Споразумението за Международната програма за опазване на делфините за периода 2019—2023 г. във връзка с предвиденото приемане на мерки.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от Антигуа и Споразумение за Международната програма за опазване на делфините</w:t>
      </w:r>
    </w:p>
    <w:p>
      <w:pPr>
        <w:rPr>
          <w:noProof/>
        </w:rPr>
      </w:pPr>
      <w:r>
        <w:rPr>
          <w:noProof/>
        </w:rPr>
        <w:t>Целта на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(Конвенцията от Антигуа), е с учредяването на IATTC да се осигурят дългосрочното опазване и устойчивото използване на рибните запаси, обхванати от конвенцията. Конвенцията от Антигуа влезе в сила на 10 октомври 2008 г.</w:t>
      </w:r>
    </w:p>
    <w:p>
      <w:pPr>
        <w:rPr>
          <w:noProof/>
        </w:rPr>
      </w:pPr>
      <w:r>
        <w:rPr>
          <w:noProof/>
        </w:rPr>
        <w:t>Целта на Споразумението за Международната програма за опазване на делфините (Споразумението за IDCP) е с учредяването на Срещата на страните по Споразумението за IDCP случайната смъртност при делфините в зоната на Конвенцията от Антигуа да бъде постепенно намалена до нива, близки до нулата. Съгласно член XIV от Конвенцията от Антигуа IATTC изпълнява основните функции по координиране на прилагането на споразумението и изпълнението на мерките, приемани в рамките на Споразумението за IDCP. Споразумението влезе в сила на 15 февруари 1999 г.</w:t>
      </w:r>
    </w:p>
    <w:p>
      <w:pPr>
        <w:rPr>
          <w:noProof/>
        </w:rPr>
      </w:pPr>
      <w:r>
        <w:rPr>
          <w:noProof/>
        </w:rPr>
        <w:t>Съюзът е страна по IATTC и Споразумението за IDCP, след като с Решение 2006/539/ЕО на Съвета</w:t>
      </w:r>
      <w:r>
        <w:rPr>
          <w:rStyle w:val="FootnoteReference"/>
          <w:noProof/>
        </w:rPr>
        <w:footnoteReference w:id="1"/>
      </w:r>
      <w:r>
        <w:rPr>
          <w:noProof/>
        </w:rPr>
        <w:t xml:space="preserve"> и Решение 2005/938/ЕО на Съвета</w:t>
      </w:r>
      <w:r>
        <w:rPr>
          <w:rStyle w:val="FootnoteReference"/>
          <w:noProof/>
        </w:rPr>
        <w:footnoteReference w:id="2"/>
      </w:r>
      <w:r>
        <w:rPr>
          <w:noProof/>
        </w:rPr>
        <w:t xml:space="preserve"> бяха одобрени съответно Конвенцията от Антигуа и Споразумението за IDCP.</w:t>
      </w:r>
    </w:p>
    <w:p>
      <w:pPr>
        <w:pStyle w:val="ManualHeading2"/>
        <w:rPr>
          <w:noProof/>
        </w:rPr>
      </w:pPr>
      <w:r>
        <w:t>2.2.</w:t>
      </w:r>
      <w:r>
        <w:tab/>
      </w:r>
      <w:r>
        <w:rPr>
          <w:noProof/>
        </w:rPr>
        <w:t>Междуамериканска комисия за тропическа риба тон и Среща на страните по Споразумението за Международната програма за опазване на делфините</w:t>
      </w:r>
    </w:p>
    <w:p>
      <w:pPr>
        <w:rPr>
          <w:noProof/>
        </w:rPr>
      </w:pPr>
      <w:r>
        <w:rPr>
          <w:noProof/>
        </w:rPr>
        <w:t>IATTC е органът, учреден с Конвенцията от Антигуа, който отговаря за управлението и опазването на рибните ресурси в зоната на конвенцията. Този орган приема мерки за опазване и управление, чиято цел е да се осигурят дългосрочното опазване и устойчивото използване на рибните запаси в зоната на конвенцията.</w:t>
      </w:r>
    </w:p>
    <w:p>
      <w:pPr>
        <w:rPr>
          <w:noProof/>
        </w:rPr>
      </w:pPr>
      <w:r>
        <w:rPr>
          <w:noProof/>
        </w:rPr>
        <w:t>Срещата на страните по Споразумението за IDCP е органът, учреден с това споразумение, който отговаря за осигуряването на дългосрочната устойчивост на живите морски ресурси, свързани с улова на риба тон с мрежи гъргър в зоната на Конвенцията от Антигуа. IATTC има значителни отговорности по изпълнението на мерките, приети от Срещата на страните по Споразумението за IDCP, и изпълнява функциите на секретариат за това споразумение.</w:t>
      </w:r>
    </w:p>
    <w:p>
      <w:pPr>
        <w:rPr>
          <w:noProof/>
        </w:rPr>
      </w:pPr>
      <w:r>
        <w:rPr>
          <w:noProof/>
        </w:rPr>
        <w:lastRenderedPageBreak/>
        <w:t>Мерките, приети от IATTC и от Срещата на страните по Споразумението за IDCP, могат да придобият обвързващ характер по отношение на Съюза.</w:t>
      </w:r>
    </w:p>
    <w:p>
      <w:pPr>
        <w:rPr>
          <w:rFonts w:eastAsia="Arial Unicode MS"/>
          <w:noProof/>
        </w:rPr>
      </w:pPr>
      <w:r>
        <w:rPr>
          <w:noProof/>
        </w:rPr>
        <w:t>Като член на IATTC и на Срещата на страните по Споразумението за IDCP Съюзът има право на участие и право на глас. IATTC и Срещата на страните по Споразумението за IDCP вземат решенията си с консенсус.</w:t>
      </w:r>
    </w:p>
    <w:p>
      <w:pPr>
        <w:pStyle w:val="ManualHeading2"/>
        <w:rPr>
          <w:noProof/>
        </w:rPr>
      </w:pPr>
      <w:r>
        <w:t>2.3.</w:t>
      </w:r>
      <w:r>
        <w:tab/>
      </w:r>
      <w:r>
        <w:rPr>
          <w:noProof/>
        </w:rPr>
        <w:t>Решения, приемани от IATTC и от Срещата на страните по Споразумението за IDCP</w:t>
      </w:r>
    </w:p>
    <w:p>
      <w:pPr>
        <w:rPr>
          <w:rFonts w:eastAsia="Arial Unicode MS"/>
          <w:noProof/>
        </w:rPr>
      </w:pPr>
      <w:r>
        <w:rPr>
          <w:noProof/>
        </w:rPr>
        <w:t>IATTC има правомощието да приема мерки („резолюции“) за опазване и управление на рибарството в своята област на компетентност, като тези мерки са обвързващи за договарящите страни.</w:t>
      </w:r>
    </w:p>
    <w:p>
      <w:pPr>
        <w:rPr>
          <w:noProof/>
        </w:rPr>
      </w:pPr>
      <w:r>
        <w:rPr>
          <w:noProof/>
        </w:rPr>
        <w:t>В съответствие с член IX, параграф 7 от Конвенцията от Антигуа резолюциите влизат в сила 45 дни след датата, на която договарящите страни са били уведомени за тях от IATTC.</w:t>
      </w:r>
    </w:p>
    <w:p>
      <w:pPr>
        <w:rPr>
          <w:noProof/>
        </w:rPr>
      </w:pPr>
      <w:r>
        <w:rPr>
          <w:noProof/>
        </w:rPr>
        <w:t>Срещата на страните по Споразумението за IDCP има правомощието да приема решения за постигане на целите на това споразумение. След приемането на тези решения те придобиват обвързваща сила за договарящите страни.</w:t>
      </w:r>
    </w:p>
    <w:p>
      <w:pPr>
        <w:pStyle w:val="ManualHeading1"/>
        <w:rPr>
          <w:rFonts w:eastAsia="Arial Unicode MS"/>
          <w:noProof/>
        </w:rPr>
      </w:pPr>
      <w:r>
        <w:t>3.</w:t>
      </w:r>
      <w:r>
        <w:tab/>
      </w:r>
      <w:r>
        <w:rPr>
          <w:noProof/>
        </w:rPr>
        <w:t>Позиция, която трябва да се заеме от името на Съюза</w:t>
      </w:r>
    </w:p>
    <w:p>
      <w:pPr>
        <w:rPr>
          <w:rFonts w:eastAsia="Times New Roman"/>
          <w:noProof/>
        </w:rPr>
      </w:pPr>
      <w:r>
        <w:rPr>
          <w:noProof/>
        </w:rPr>
        <w:t>Позицията, която трябва да се заеме от името на Съюза на годишните заседания на регионалните организации за управление на рибарството, понастоящем се определя съобразно двустепенен подход. С решение на Съвета се определят ръководните принципи и насоки на позицията на Съюза на многогодишна основа, която позиция впоследствие се коригира за всяко годишно заседание посредством неофициални документи на Комисията, предназначени за обсъждане в работната група на Съвета.</w:t>
      </w:r>
    </w:p>
    <w:p>
      <w:pPr>
        <w:rPr>
          <w:rFonts w:eastAsia="Times New Roman"/>
          <w:noProof/>
        </w:rPr>
      </w:pPr>
      <w:r>
        <w:rPr>
          <w:noProof/>
        </w:rPr>
        <w:t>По отношение на IATTC този подход се прилага с Решение 10126/14 на Съвета от 23 май 2014 г., в което се определя позицията на Съюза в IATTC и в Срещата на страните по Споразумението за IDCP за периода 2014—2018 г. В решението се съдържат общите принципи и насоки, като същевременно се вземат предвид, доколкото е възможно, специфичните особености на IATTC и на Споразумението за IDCP. Наред с това, в съответствие с искането на държавите членки, в него е предвидена стандартната процедура за ежегодното определяне на позицията на Съюза.</w:t>
      </w:r>
    </w:p>
    <w:p>
      <w:pPr>
        <w:rPr>
          <w:rFonts w:eastAsia="Times New Roman"/>
          <w:noProof/>
        </w:rPr>
      </w:pPr>
      <w:r>
        <w:rPr>
          <w:noProof/>
        </w:rPr>
        <w:t>В Решение 10126/14 се предвижда преразглеждане на позицията на Съюза преди годишното заседание през 2019 г. Следователно в настоящото предложение се определя позицията на Съюза в рамките на IATTC за периода 2019—2023 г., като то съответно заменя Решение 10126/14.</w:t>
      </w:r>
    </w:p>
    <w:p>
      <w:pPr>
        <w:rPr>
          <w:rFonts w:eastAsia="Times New Roman"/>
          <w:noProof/>
        </w:rPr>
      </w:pPr>
      <w:r>
        <w:rPr>
          <w:noProof/>
        </w:rPr>
        <w:t>Решение 10126/14 включва принципите и насоките на новата обща политика в областта на рибарството, определени в Регламент (ЕС) № 1380/2013 на Европейския парламент и на Съвета</w:t>
      </w:r>
      <w:r>
        <w:rPr>
          <w:rStyle w:val="FootnoteReference"/>
          <w:noProof/>
        </w:rPr>
        <w:footnoteReference w:id="3"/>
      </w:r>
      <w:r>
        <w:rPr>
          <w:noProof/>
        </w:rPr>
        <w:t>, като се вземат предвид и целите, формулирани в Съобщението на Комисията относно външното измерение на общата политика в областта на рибарството</w:t>
      </w:r>
      <w:r>
        <w:rPr>
          <w:rStyle w:val="FootnoteReference"/>
          <w:noProof/>
        </w:rPr>
        <w:footnoteReference w:id="4"/>
      </w:r>
      <w:r>
        <w:rPr>
          <w:noProof/>
        </w:rPr>
        <w:t>. Наред с това то привежда позицията на Съюза в съответствие с Договора от Лисабон.</w:t>
      </w:r>
    </w:p>
    <w:p>
      <w:pPr>
        <w:rPr>
          <w:noProof/>
        </w:rPr>
      </w:pPr>
      <w:r>
        <w:rPr>
          <w:noProof/>
        </w:rPr>
        <w:lastRenderedPageBreak/>
        <w:t>В настоящото преразглеждане се вземат предвид — във връзка с въздействието на риболова — съобщението на Комисията до Европейския парламент, Съвета, Европейския икономически и социален комитет и Комитета на регионите, озаглавено „Европейска стратегия за пластмасите в кръговата икономика“</w:t>
      </w:r>
      <w:r>
        <w:rPr>
          <w:rStyle w:val="FootnoteReference"/>
          <w:noProof/>
        </w:rPr>
        <w:footnoteReference w:id="5"/>
      </w:r>
      <w:r>
        <w:rPr>
          <w:noProof/>
        </w:rPr>
        <w:t>, съвместното съобщение на върховния представител на Съюза по въпросите на външните работи и политиката на сигурност и на Европейската комисия на тема „Международно управление на океаните: приносът на ЕС за отговорното управление на океаните“</w:t>
      </w:r>
      <w:r>
        <w:rPr>
          <w:rStyle w:val="FootnoteReference"/>
          <w:noProof/>
        </w:rPr>
        <w:footnoteReference w:id="6"/>
      </w:r>
      <w:r>
        <w:rPr>
          <w:noProof/>
        </w:rPr>
        <w:t xml:space="preserve"> и заключенията на Съвета във връзка с това съвместно съобщение</w:t>
      </w:r>
      <w:r>
        <w:rPr>
          <w:rStyle w:val="FootnoteReference"/>
          <w:noProof/>
        </w:rPr>
        <w:footnoteReference w:id="7"/>
      </w:r>
      <w:r>
        <w:rPr>
          <w:noProof/>
        </w:rPr>
        <w:t>.</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8"/>
      </w:r>
      <w:r>
        <w:rPr>
          <w:noProof/>
        </w:rPr>
        <w:t>.</w:t>
      </w:r>
    </w:p>
    <w:p>
      <w:pPr>
        <w:pStyle w:val="ManualHeading3"/>
        <w:rPr>
          <w:noProof/>
        </w:rPr>
      </w:pPr>
      <w:r>
        <w:t>4.1.2.</w:t>
      </w:r>
      <w:r>
        <w:tab/>
      </w:r>
      <w:r>
        <w:rPr>
          <w:noProof/>
        </w:rPr>
        <w:t>Приложение в конкретния случай</w:t>
      </w:r>
    </w:p>
    <w:p>
      <w:pPr>
        <w:rPr>
          <w:noProof/>
        </w:rPr>
      </w:pPr>
      <w:r>
        <w:rPr>
          <w:noProof/>
        </w:rPr>
        <w:t>IATTC и Срещата на страните по Споразумението за IDCP са органи, учредени по силата на споразумения — по-конкретно Конвенцията от Антигуа и Споразумението за IDCP.</w:t>
      </w:r>
    </w:p>
    <w:p>
      <w:pPr>
        <w:rPr>
          <w:noProof/>
        </w:rPr>
      </w:pPr>
      <w:r>
        <w:rPr>
          <w:noProof/>
        </w:rPr>
        <w:t>Актовете, които IATTC и Срещата на страните по Споразумението за IDCP имат за задача да приемат, представляват актове с правно действие. В съответствие с член IX от Конвенцията от Антигуа и член VII от Споразумението за IDCP тези актове ще бъдат обвързващи съгласно международното право и могат да окажат съществено въздействие върху съдържанието на законодателството на ЕС, в това число:</w:t>
      </w:r>
    </w:p>
    <w:p>
      <w:pPr>
        <w:pStyle w:val="Bullet0"/>
        <w:numPr>
          <w:ilvl w:val="0"/>
          <w:numId w:val="12"/>
        </w:numPr>
        <w:rPr>
          <w:noProof/>
        </w:rPr>
      </w:pPr>
      <w:r>
        <w:rPr>
          <w:noProof/>
        </w:rPr>
        <w:t>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r>
        <w:rPr>
          <w:rStyle w:val="FootnoteReference"/>
          <w:noProof/>
        </w:rPr>
        <w:footnoteReference w:id="9"/>
      </w:r>
      <w:r>
        <w:rPr>
          <w:noProof/>
        </w:rPr>
        <w:t xml:space="preserve">; </w:t>
      </w:r>
    </w:p>
    <w:p>
      <w:pPr>
        <w:pStyle w:val="Bullet0"/>
        <w:rPr>
          <w:noProof/>
        </w:rPr>
      </w:pPr>
      <w:r>
        <w:rPr>
          <w:noProof/>
        </w:rPr>
        <w:t>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r>
        <w:rPr>
          <w:rStyle w:val="FootnoteReference"/>
          <w:noProof/>
        </w:rPr>
        <w:footnoteReference w:id="10"/>
      </w:r>
      <w:r>
        <w:rPr>
          <w:noProof/>
        </w:rPr>
        <w:t xml:space="preserve">; и </w:t>
      </w:r>
    </w:p>
    <w:p>
      <w:pPr>
        <w:pStyle w:val="Bullet0"/>
        <w:rPr>
          <w:noProof/>
        </w:rPr>
      </w:pPr>
      <w:r>
        <w:rPr>
          <w:noProof/>
        </w:rPr>
        <w:lastRenderedPageBreak/>
        <w:t>Регламент (ЕС) 2017/2403 на Европейския парламент и на Съвета от 12 декември 2017 г. относно устойчивото управление на външните риболовни флотове</w:t>
      </w:r>
      <w:r>
        <w:rPr>
          <w:rStyle w:val="FootnoteReference"/>
          <w:noProof/>
        </w:rPr>
        <w:footnoteReference w:id="11"/>
      </w:r>
      <w:r>
        <w:rPr>
          <w:noProof/>
        </w:rPr>
        <w:t>.</w:t>
      </w:r>
    </w:p>
    <w:p>
      <w:pPr>
        <w:rPr>
          <w:noProof/>
        </w:rPr>
      </w:pPr>
      <w:r>
        <w:rPr>
          <w:noProof/>
        </w:rPr>
        <w:t>Предвидените актове не допълват, нито изменят институционалната рамка на Конвенцията от Антигуа и Споразумението за IDCP.</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актът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рибарството. Правното основание при определяне на принципите, които трябва да бъдат отразени в настоящата позиция, е Регламент (ЕС) № 1380/2013.</w:t>
      </w:r>
    </w:p>
    <w:p>
      <w:pPr>
        <w:rPr>
          <w:noProof/>
        </w:rPr>
      </w:pPr>
      <w:r>
        <w:rPr>
          <w:noProof/>
        </w:rPr>
        <w:t>Поради това материалноправното основание за предложеното решение е член 43, параграф 2 от ДФЕС. С решението се заменя Решение 10126/14, което се отнася за периода 2014—2018 г.</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43, параграф 2 от Договора за функционирането на Европейския съюз във връзка с член 218, параграф 9 от него.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2019/0064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Междуамериканската комисия за тропическа риба тон и в Срещата на страните по Споразумението за Международната програма за опазване на делфините, и за отмяна на Решение 10126/14</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2006/539/ЕО на Съвета</w:t>
      </w:r>
      <w:r>
        <w:rPr>
          <w:rStyle w:val="FootnoteReference"/>
          <w:noProof/>
        </w:rPr>
        <w:footnoteReference w:id="12"/>
      </w:r>
      <w:r>
        <w:rPr>
          <w:noProof/>
        </w:rPr>
        <w:t xml:space="preserve"> Европейският съюз сключи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(Конвенцията от Антигуа), с която беше учредена Междуамериканската комисия за тропическа риба тон (IATTC).</w:t>
      </w:r>
    </w:p>
    <w:p>
      <w:pPr>
        <w:pStyle w:val="ManualConsidrant"/>
        <w:rPr>
          <w:noProof/>
        </w:rPr>
      </w:pPr>
      <w:r>
        <w:t>(2)</w:t>
      </w:r>
      <w:r>
        <w:tab/>
      </w:r>
      <w:r>
        <w:rPr>
          <w:noProof/>
        </w:rPr>
        <w:t>IATTC е органът, учреден с Конвенцията от Антигуа, който отговаря за управлението и опазването на рибните ресурси в зоната на конвенцията. Този орган приема мерки за опазване и управление, чиято цел е да се осигурят дългосрочното опазване и устойчивото използване на рибните запаси в зоната на конвенцията. Мерките могат да придобият обвързващ характер по отношение на Съюза.</w:t>
      </w:r>
    </w:p>
    <w:p>
      <w:pPr>
        <w:pStyle w:val="ManualConsidrant"/>
        <w:rPr>
          <w:noProof/>
        </w:rPr>
      </w:pPr>
      <w:r>
        <w:t>(3)</w:t>
      </w:r>
      <w:r>
        <w:tab/>
      </w:r>
      <w:r>
        <w:rPr>
          <w:noProof/>
        </w:rPr>
        <w:t>С Решение 2005/938/ЕО на Съвета</w:t>
      </w:r>
      <w:r>
        <w:rPr>
          <w:rStyle w:val="FootnoteReference"/>
          <w:noProof/>
        </w:rPr>
        <w:footnoteReference w:id="13"/>
      </w:r>
      <w:r>
        <w:rPr>
          <w:noProof/>
        </w:rPr>
        <w:t xml:space="preserve"> Европейският съюз одобри Споразумението за Международната програма за опазване на делфините (Споразумението за IDCP), с което беше учредена Срещата на страните по това споразумение. Съгласно член XIV от Конвенцията от Антигуа IATTC изпълнява основните функции по координиране на прилагането на споразумението и изпълнението на мерките, приемани в рамките на Споразумението за IDCP. Функциите на секретариат за това споразумение се изпълняват от IATTC.</w:t>
      </w:r>
    </w:p>
    <w:p>
      <w:pPr>
        <w:pStyle w:val="ManualConsidrant"/>
        <w:rPr>
          <w:noProof/>
        </w:rPr>
      </w:pPr>
      <w:r>
        <w:t>(4)</w:t>
      </w:r>
      <w:r>
        <w:tab/>
      </w:r>
      <w:r>
        <w:rPr>
          <w:noProof/>
        </w:rPr>
        <w:t xml:space="preserve">Срещата на страните по Споразумението за IDCP е органът, учреден с това споразумение, който полага усилия за постепенното намаляване на случайната смъртност при улова на риба тон с мрежи гъргър в зоната на Конвенцията от Антигуа до нива, близки до нулата. Срещата на страните по Споразумението за IDCP приема решения, с които се осигурява дългосрочната устойчивост на </w:t>
      </w:r>
      <w:r>
        <w:rPr>
          <w:noProof/>
        </w:rPr>
        <w:lastRenderedPageBreak/>
        <w:t>живите морски ресурси, свързани с улова на риба тон с мрежи гъргър в зоната на Конвенцията от Антигуа. Мерките могат да придобият обвързващ характер по отношение на Съюза.</w:t>
      </w:r>
    </w:p>
    <w:p>
      <w:pPr>
        <w:pStyle w:val="ManualConsidrant"/>
        <w:rPr>
          <w:noProof/>
        </w:rPr>
      </w:pPr>
      <w:r>
        <w:t>(5)</w:t>
      </w:r>
      <w:r>
        <w:tab/>
      </w:r>
      <w:r>
        <w:rPr>
          <w:noProof/>
        </w:rPr>
        <w:t>В Регламент (ЕС) № 1380/2013 на Европейския парламент и на Съвета</w:t>
      </w:r>
      <w:r>
        <w:rPr>
          <w:rStyle w:val="FootnoteReference"/>
          <w:noProof/>
        </w:rPr>
        <w:footnoteReference w:id="14"/>
      </w:r>
      <w:r>
        <w:rPr>
          <w:noProof/>
        </w:rPr>
        <w:t xml:space="preserve"> се предвижда задължение за Съюза да гарантира, че дейностите, свързани с риболова и аквакултурите,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осигуряване на продоволственото снабдяване. В него също така се посочва, че Съюзът трябва да прилага подхода на предпазливост към управлението на рибарството, като целта е да се гарантира, че експлоатацията на живите морски биологични ресурси осигурява възстановяването и поддържането на популациите на улавяните видове над нивата, позволяващи максимален устойчив улов. Наред с това в регламента се предвижда задължение за Съюза да предприема мерки за опазване и управление въз основа на най-добрите налични научни становища, да оказва подкрепа при развитието на научните познания и становища, постепенно да премахне изхвърлянето на улов и да насърчава методи за риболов, които допринасят за по-селективен риболов, за избягване и, доколкото е възможно, за намаляване на нежелания улов, както и за риболов, който има слабо въздействие върху морските екосистеми и рибните ресурси. В Регламент (ЕС) № 1380/2013 също така изрично се предвижда, че Съюзът трябва да прилага тези цели и принципи при осъществяването на своите външни отношения в областта на рибарството.</w:t>
      </w:r>
    </w:p>
    <w:p>
      <w:pPr>
        <w:pStyle w:val="ManualConsidrant"/>
        <w:rPr>
          <w:noProof/>
        </w:rPr>
      </w:pPr>
      <w:r>
        <w:t>(6)</w:t>
      </w:r>
      <w:r>
        <w:tab/>
      </w:r>
      <w:r>
        <w:rPr>
          <w:noProof/>
        </w:rPr>
        <w:t>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15"/>
      </w:r>
      <w:r>
        <w:rPr>
          <w:noProof/>
        </w:rPr>
        <w:t>, и в заключенията на Съвета във връзка с това съвместно съобщение</w:t>
      </w:r>
      <w:r>
        <w:rPr>
          <w:rStyle w:val="FootnoteReference"/>
          <w:noProof/>
        </w:rPr>
        <w:footnoteReference w:id="16"/>
      </w:r>
      <w:r>
        <w:rPr>
          <w:noProof/>
        </w:rPr>
        <w:t>, насърчаването на мерките за подкрепа и повишаване на ефективността на регионалните организации за управление на рибарството и, когато е уместно, за подобряване на тяхното управление са в центъра на действието на ЕС в рамките на тези форуми.</w:t>
      </w:r>
    </w:p>
    <w:p>
      <w:pPr>
        <w:pStyle w:val="ManualConsidrant"/>
        <w:rPr>
          <w:noProof/>
        </w:rPr>
      </w:pPr>
      <w:r>
        <w:t>(7)</w:t>
      </w:r>
      <w:r>
        <w:tab/>
      </w:r>
      <w:r>
        <w:rPr>
          <w:noProof/>
        </w:rPr>
        <w:t>В съобщението на Комисията до Европейския парламент, Съвета, Европейския икономически и социален комитет и Комитета на регионите, озаглавено „Европейска стратегия за пластмасите в кръговата икономика“</w:t>
      </w:r>
      <w:r>
        <w:rPr>
          <w:rStyle w:val="FootnoteReference"/>
          <w:noProof/>
        </w:rPr>
        <w:footnoteReference w:id="17"/>
      </w:r>
      <w:r>
        <w:rPr>
          <w:noProof/>
        </w:rPr>
        <w:t>, се посочват конкретни мерки за намаляване на отпадъците от пластмаси и замърсяването на морската среда, както и за ограничаване на случаите на загуба или изоставяне на риболовни уреди в морето.</w:t>
      </w:r>
    </w:p>
    <w:p>
      <w:pPr>
        <w:pStyle w:val="ManualConsidrant"/>
        <w:rPr>
          <w:noProof/>
        </w:rPr>
      </w:pPr>
      <w:r>
        <w:t>(8)</w:t>
      </w:r>
      <w:r>
        <w:tab/>
      </w:r>
      <w:r>
        <w:rPr>
          <w:noProof/>
        </w:rPr>
        <w:t xml:space="preserve">Целесъобразно е да се установи позицията, която трябва да се заеме от името на Съюза на заседанията на IATTC и на Срещата на страните по Споразумението за IDCP за периода 2019—2023 г., тъй като мерките на IATTC за опазване и изпълнение и решенията на Срещата на страните по Споразумението за IDCP ще бъдат обвързващи за Съюза и могат да окажат съществено въздействие върху </w:t>
      </w:r>
      <w:r>
        <w:rPr>
          <w:noProof/>
        </w:rPr>
        <w:lastRenderedPageBreak/>
        <w:t>съдържанието на неговото законодателство, а именно: Регламент (ЕО) № 1005/2008 на Съвета</w:t>
      </w:r>
      <w:r>
        <w:rPr>
          <w:rStyle w:val="FootnoteReference"/>
          <w:noProof/>
        </w:rPr>
        <w:footnoteReference w:id="18"/>
      </w:r>
      <w:r>
        <w:rPr>
          <w:noProof/>
        </w:rPr>
        <w:t>, Регламент (ЕО) № 1224/2009 на Съвета</w:t>
      </w:r>
      <w:r>
        <w:rPr>
          <w:rStyle w:val="FootnoteReference"/>
          <w:noProof/>
        </w:rPr>
        <w:footnoteReference w:id="19"/>
      </w:r>
      <w:r>
        <w:rPr>
          <w:noProof/>
        </w:rPr>
        <w:t xml:space="preserve"> и Регламент (ЕС) 2017/2403 на Европейския парламент и на Съвета</w:t>
      </w:r>
      <w:r>
        <w:rPr>
          <w:rStyle w:val="FootnoteReference"/>
          <w:noProof/>
        </w:rPr>
        <w:footnoteReference w:id="20"/>
      </w:r>
      <w:r>
        <w:rPr>
          <w:noProof/>
        </w:rPr>
        <w:t>.</w:t>
      </w:r>
    </w:p>
    <w:p>
      <w:pPr>
        <w:pStyle w:val="ManualConsidrant"/>
        <w:rPr>
          <w:noProof/>
        </w:rPr>
      </w:pPr>
      <w:r>
        <w:t>(9)</w:t>
      </w:r>
      <w:r>
        <w:tab/>
      </w:r>
      <w:r>
        <w:rPr>
          <w:noProof/>
        </w:rPr>
        <w:t>Позицията, която трябва да се заеме от името на Съюза на заседанията на IATTC, понастоящем е установена с Решение 10126/14 на Съвета</w:t>
      </w:r>
      <w:r>
        <w:rPr>
          <w:rStyle w:val="FootnoteReference"/>
          <w:noProof/>
        </w:rPr>
        <w:footnoteReference w:id="21"/>
      </w:r>
      <w:r>
        <w:rPr>
          <w:noProof/>
        </w:rPr>
        <w:t>. Целесъобразно е Решение 10126/14 да се отмени и да се замени с ново решение за периода 2019—2023 г.</w:t>
      </w:r>
    </w:p>
    <w:p>
      <w:pPr>
        <w:pStyle w:val="ManualConsidrant"/>
        <w:rPr>
          <w:noProof/>
        </w:rPr>
      </w:pPr>
      <w:r>
        <w:t>(10)</w:t>
      </w:r>
      <w:r>
        <w:tab/>
      </w:r>
      <w:r>
        <w:rPr>
          <w:noProof/>
        </w:rPr>
        <w:t>Предвид изменящия се характер на рибните ресурси в зоната на Конвенцията от Антигуа и произтичащата от това необходимост в позицията на Съюза да бъдат взети под внимание някои нови обстоятелства, включително новата научна и друга важна информация, представена преди или по време на заседанията на IATTC и на Срещата на страните по Споразумението за IDCP, следва да бъдат установени процедури във връзка с ежегодното уточняване на позицията на Съюза за периода 2019—2023 г., които са съобразени с принципа на лоялно сътрудничество между институциите на Съюза, залегнал в член 13, параграф 2 от Договора за Европейския съюз,</w:t>
      </w:r>
    </w:p>
    <w:p>
      <w:pPr>
        <w:pStyle w:val="Formuledadoption"/>
        <w:rPr>
          <w:noProof/>
        </w:rPr>
      </w:pPr>
      <w:r>
        <w:rPr>
          <w:noProof/>
        </w:rPr>
        <w:t>ПРИЕ НАСТОЯЩОТО РЕШЕНИЕ:</w:t>
      </w:r>
    </w:p>
    <w:p>
      <w:pPr>
        <w:pStyle w:val="Titrearticle"/>
        <w:rPr>
          <w:noProof/>
        </w:rPr>
      </w:pPr>
      <w:r>
        <w:rPr>
          <w:noProof/>
        </w:rPr>
        <w:t>Член 1</w:t>
      </w:r>
    </w:p>
    <w:p>
      <w:pPr>
        <w:autoSpaceDE w:val="0"/>
        <w:autoSpaceDN w:val="0"/>
        <w:adjustRightInd w:val="0"/>
        <w:spacing w:before="0" w:after="0"/>
        <w:rPr>
          <w:noProof/>
        </w:rPr>
      </w:pPr>
      <w:r>
        <w:rPr>
          <w:noProof/>
        </w:rPr>
        <w:t>Позицията, която трябва да се заеме от името на Съюза на заседанията на Междуамериканската комисия за тропическа риба тон (IATTC) и на Срещата на страните по Споразумението за Международната програма за опазване на делфините (Споразумението за IDCP), е определена в приложение I.</w:t>
      </w:r>
    </w:p>
    <w:p>
      <w:pPr>
        <w:pStyle w:val="Titrearticle"/>
        <w:rPr>
          <w:noProof/>
        </w:rPr>
      </w:pPr>
      <w:r>
        <w:rPr>
          <w:noProof/>
        </w:rPr>
        <w:t>Член 2</w:t>
      </w:r>
    </w:p>
    <w:p>
      <w:pPr>
        <w:autoSpaceDE w:val="0"/>
        <w:autoSpaceDN w:val="0"/>
        <w:adjustRightInd w:val="0"/>
        <w:spacing w:before="0" w:after="0"/>
        <w:rPr>
          <w:noProof/>
          <w:szCs w:val="24"/>
        </w:rPr>
      </w:pPr>
      <w:r>
        <w:rPr>
          <w:noProof/>
        </w:rPr>
        <w:t>Ежегодното уточняване на позицията на Съюза, която трябва да се заеме на заседанията на IATTC и на Срещата на страните по Споразумението за IDCP, се извършва в съответствие с приложение II.</w:t>
      </w:r>
    </w:p>
    <w:p>
      <w:pPr>
        <w:pStyle w:val="Titrearticle"/>
        <w:rPr>
          <w:noProof/>
        </w:rPr>
      </w:pPr>
      <w:r>
        <w:rPr>
          <w:noProof/>
        </w:rPr>
        <w:t>Член 3</w:t>
      </w:r>
    </w:p>
    <w:p>
      <w:pPr>
        <w:rPr>
          <w:noProof/>
        </w:rPr>
      </w:pPr>
      <w:r>
        <w:rPr>
          <w:noProof/>
        </w:rPr>
        <w:t>Позицията на Съюза, определена в приложение I, се оценява и при необходимост се преразглежда от Съвета по предложение на Комисията най-късно за годишното заседание на IATTC през 2024 г.</w:t>
      </w:r>
    </w:p>
    <w:p>
      <w:pPr>
        <w:pStyle w:val="Titrearticle"/>
        <w:rPr>
          <w:noProof/>
        </w:rPr>
      </w:pPr>
      <w:r>
        <w:rPr>
          <w:noProof/>
        </w:rPr>
        <w:lastRenderedPageBreak/>
        <w:t>Член 4</w:t>
      </w:r>
    </w:p>
    <w:p>
      <w:pPr>
        <w:autoSpaceDE w:val="0"/>
        <w:autoSpaceDN w:val="0"/>
        <w:adjustRightInd w:val="0"/>
        <w:spacing w:before="0" w:after="0"/>
        <w:rPr>
          <w:noProof/>
          <w:szCs w:val="24"/>
        </w:rPr>
      </w:pPr>
      <w:r>
        <w:rPr>
          <w:noProof/>
        </w:rPr>
        <w:t>Решение 10126/14 от 23 май 2014 г. се отменя.</w:t>
      </w:r>
    </w:p>
    <w:p>
      <w:pPr>
        <w:pStyle w:val="Titrearticle"/>
        <w:rPr>
          <w:noProof/>
        </w:rPr>
      </w:pPr>
      <w:r>
        <w:rPr>
          <w:noProof/>
        </w:rPr>
        <w:t>Член 5</w:t>
      </w:r>
    </w:p>
    <w:p>
      <w:pPr>
        <w:autoSpaceDE w:val="0"/>
        <w:autoSpaceDN w:val="0"/>
        <w:adjustRightInd w:val="0"/>
        <w:spacing w:before="0" w:after="0"/>
        <w:rPr>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2006/539/ЕО на Съвета от 22 май 2006 г. за сключване, от името на Европейската общност на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(ОВ L 224, 16.8.2006 г., стр. 22).</w:t>
      </w:r>
    </w:p>
  </w:footnote>
  <w:footnote w:id="2">
    <w:p>
      <w:pPr>
        <w:pStyle w:val="FootnoteText"/>
      </w:pPr>
      <w:r>
        <w:rPr>
          <w:rStyle w:val="FootnoteReference"/>
        </w:rPr>
        <w:footnoteRef/>
      </w:r>
      <w:r>
        <w:tab/>
        <w:t>Решение 2005/938/ЕО на Съвета от 8 декември 2005 г. за одобряване от името на Европейската общност на споразумението по Международната програма за опазване на делфините (ОВ L 348, 30.12.2005 г., стр. 26).</w:t>
      </w:r>
    </w:p>
  </w:footnote>
  <w:footnote w:id="3">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4">
    <w:p>
      <w:pPr>
        <w:pStyle w:val="FootnoteText"/>
        <w:rPr>
          <w:lang w:val="pt-PT"/>
        </w:rPr>
      </w:pPr>
      <w:r>
        <w:rPr>
          <w:rStyle w:val="FootnoteReference"/>
        </w:rPr>
        <w:footnoteRef/>
      </w:r>
      <w:r>
        <w:tab/>
        <w:t>COM(2011) 424, 13.7.2011 г.</w:t>
      </w:r>
    </w:p>
  </w:footnote>
  <w:footnote w:id="5">
    <w:p>
      <w:pPr>
        <w:pStyle w:val="FootnoteText"/>
        <w:rPr>
          <w:lang w:val="pt-PT"/>
        </w:rPr>
      </w:pPr>
      <w:r>
        <w:rPr>
          <w:rStyle w:val="FootnoteReference"/>
        </w:rPr>
        <w:footnoteRef/>
      </w:r>
      <w:r>
        <w:tab/>
        <w:t>COM(2018) 28 final, 16.1.2018 г.</w:t>
      </w:r>
    </w:p>
  </w:footnote>
  <w:footnote w:id="6">
    <w:p>
      <w:pPr>
        <w:pStyle w:val="FootnoteText"/>
      </w:pPr>
      <w:r>
        <w:rPr>
          <w:rStyle w:val="FootnoteReference"/>
        </w:rPr>
        <w:footnoteRef/>
      </w:r>
      <w:r>
        <w:tab/>
        <w:t>JOIN(2016) 49 final, 10.11.2016 г.</w:t>
      </w:r>
    </w:p>
  </w:footnote>
  <w:footnote w:id="7">
    <w:p>
      <w:pPr>
        <w:pStyle w:val="FootnoteText"/>
      </w:pPr>
      <w:r>
        <w:rPr>
          <w:rStyle w:val="FootnoteReference"/>
        </w:rPr>
        <w:footnoteRef/>
      </w:r>
      <w:r>
        <w:tab/>
        <w:t>7348/1/17 REV 1, 24.3.2017 г.</w:t>
      </w:r>
    </w:p>
  </w:footnote>
  <w:footnote w:id="8">
    <w:p>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 w:id="9">
    <w:p>
      <w:pPr>
        <w:pStyle w:val="FootnoteText"/>
        <w:rPr>
          <w:lang w:val="ru-RU"/>
        </w:rPr>
      </w:pPr>
      <w:r>
        <w:rPr>
          <w:rStyle w:val="FootnoteReference"/>
        </w:rPr>
        <w:footnoteRef/>
      </w:r>
      <w:r>
        <w:tab/>
        <w:t>ОВ L 286, 29.10.2008 г., стр. 1.</w:t>
      </w:r>
    </w:p>
  </w:footnote>
  <w:footnote w:id="10">
    <w:p>
      <w:pPr>
        <w:pStyle w:val="FootnoteText"/>
        <w:rPr>
          <w:lang w:val="ru-RU"/>
        </w:rPr>
      </w:pPr>
      <w:r>
        <w:rPr>
          <w:rStyle w:val="FootnoteReference"/>
        </w:rPr>
        <w:footnoteRef/>
      </w:r>
      <w:r>
        <w:tab/>
        <w:t>ОВ L 343, 22.12.2009 г., стр. 1.</w:t>
      </w:r>
    </w:p>
  </w:footnote>
  <w:footnote w:id="11">
    <w:p>
      <w:pPr>
        <w:pStyle w:val="FootnoteText"/>
        <w:rPr>
          <w:lang w:val="ru-RU"/>
        </w:rPr>
      </w:pPr>
      <w:r>
        <w:rPr>
          <w:rStyle w:val="FootnoteReference"/>
        </w:rPr>
        <w:footnoteRef/>
      </w:r>
      <w:r>
        <w:tab/>
        <w:t>ОВ L 347, 28.12.2017 г., стр. 81.</w:t>
      </w:r>
    </w:p>
  </w:footnote>
  <w:footnote w:id="12">
    <w:p>
      <w:pPr>
        <w:pStyle w:val="FootnoteText"/>
      </w:pPr>
      <w:r>
        <w:rPr>
          <w:rStyle w:val="FootnoteReference"/>
        </w:rPr>
        <w:footnoteRef/>
      </w:r>
      <w:r>
        <w:tab/>
        <w:t>Решение на Съвета от 22 май 2006 г. за сключване, от името на Европейската общност на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(ОВ L 224, 16.8.2006 г., стр. 22).</w:t>
      </w:r>
    </w:p>
  </w:footnote>
  <w:footnote w:id="13">
    <w:p>
      <w:pPr>
        <w:pStyle w:val="FootnoteText"/>
      </w:pPr>
      <w:r>
        <w:rPr>
          <w:rStyle w:val="FootnoteReference"/>
        </w:rPr>
        <w:footnoteRef/>
      </w:r>
      <w:r>
        <w:tab/>
        <w:t>Решение 2005/938/ЕО на Съвета от 8 декември 2005 г. за одобряване от името на Европейската общност на споразумението по Международната програма за опазване на делфините (ОВ L 348, 30.12.2005 г., стр. 26).</w:t>
      </w:r>
    </w:p>
  </w:footnote>
  <w:footnote w:id="14">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5">
    <w:p>
      <w:pPr>
        <w:pStyle w:val="FootnoteText"/>
      </w:pPr>
      <w:r>
        <w:rPr>
          <w:rStyle w:val="FootnoteReference"/>
        </w:rPr>
        <w:footnoteRef/>
      </w:r>
      <w:r>
        <w:tab/>
        <w:t>JOIN(2016) 49 final, 10.11.2016 г.</w:t>
      </w:r>
    </w:p>
  </w:footnote>
  <w:footnote w:id="16">
    <w:p>
      <w:pPr>
        <w:pStyle w:val="FootnoteText"/>
      </w:pPr>
      <w:r>
        <w:rPr>
          <w:rStyle w:val="FootnoteReference"/>
        </w:rPr>
        <w:footnoteRef/>
      </w:r>
      <w:r>
        <w:tab/>
        <w:t>7348/1/17 REV 1, 24.3.2017 г.</w:t>
      </w:r>
    </w:p>
  </w:footnote>
  <w:footnote w:id="17">
    <w:p>
      <w:pPr>
        <w:pStyle w:val="FootnoteText"/>
      </w:pPr>
      <w:r>
        <w:rPr>
          <w:rStyle w:val="FootnoteReference"/>
        </w:rPr>
        <w:footnoteRef/>
      </w:r>
      <w:r>
        <w:tab/>
        <w:t>COM(2018) 28 final, 16.1.2018 г.</w:t>
      </w:r>
    </w:p>
  </w:footnote>
  <w:footnote w:id="18">
    <w:p>
      <w:pPr>
        <w:pStyle w:val="FootnoteText"/>
      </w:pPr>
      <w:r>
        <w:rPr>
          <w:rStyle w:val="FootnoteReference"/>
        </w:rPr>
        <w:footnoteRef/>
      </w:r>
      <w:r>
        <w:tab/>
        <w:t>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19">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20">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 w:id="21">
    <w:p>
      <w:pPr>
        <w:pStyle w:val="FootnoteText"/>
      </w:pPr>
      <w:r>
        <w:rPr>
          <w:rStyle w:val="FootnoteReference"/>
        </w:rPr>
        <w:footnoteRef/>
      </w:r>
      <w:r>
        <w:tab/>
        <w:t>Решение на Съвета от 23 май 2014 г. относно позицията, която трябва да се заеме от името на Европейския съюз в рамките на Междуамериканската комисия за тропическа риба тон (IATTC).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5"/>
  </w:num>
  <w:num w:numId="11">
    <w:abstractNumId w:val="22"/>
    <w:lvlOverride w:ilvl="0">
      <w:startOverride w:val="1"/>
    </w:lvlOverride>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8 10:38: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95DA7B1-8A5C-4A66-A356-E2739FE771A0"/>
    <w:docVar w:name="LW_COVERPAGE_TYPE" w:val="1"/>
    <w:docVar w:name="LW_CROSSREFERENCE" w:val="&lt;UNUSED&gt;"/>
    <w:docVar w:name="LW_DocType" w:val="COM"/>
    <w:docVar w:name="LW_EMISSION" w:val="8.3.2019"/>
    <w:docVar w:name="LW_EMISSION_ISODATE" w:val="2019-03-08"/>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4"/>
    <w:docVar w:name="LW_REF.II.NEW.CP_YEAR" w:val="2019"/>
    <w:docVar w:name="LW_REF.INST.NEW" w:val="COM"/>
    <w:docVar w:name="LW_REF.INST.NEW_ADOPTED" w:val="final"/>
    <w:docVar w:name="LW_REF.INST.NEW_TEXT" w:val="(2019)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2?\u1077?\u1078?\u1076?\u1091?\u1072?\u1084?\u1077?\u1088?\u1080?\u1082?\u1072?\u1085?\u1089?\u1082?\u1072?\u1090?\u1072? \u1082?\u1086?\u1084?\u1080?\u1089?\u1080?\u1103? \u1079?\u1072? \u1090?\u1088?\u1086?\u1087?\u1080?\u1095?\u1077?\u1089?\u1082?\u1072? \u1088?\u1080?\u1073?\u1072? \u1090?\u1086?\u1085? \u1080? \u1074? \u1057?\u1088?\u1077?\u1097?\u1072?\u1090?\u1072? \u1085?\u1072? \u1089?\u1090?\u1088?\u1072?\u1085?\u1080?\u1090?\u1077? \u1087?\u1086? \u1057?\u1087?\u1086?\u1088?\u1072?\u1079?\u1091?\u1084?\u1077?\u1085?\u1080?\u1077?\u1090?\u1086? \u1079?\u1072? \u1052?\u1077?\u1078?\u1076?\u1091?\u1085?\u1072?\u1088?\u1086?\u1076?\u1085?\u1072?\u1090?\u1072? \u1087?\u1088?\u1086?\u1075?\u1088?\u1072?\u1084?\u1072? \u1079?\u1072? \u1086?\u1087?\u1072?\u1079?\u1074?\u1072?\u1085?\u1077? \u1085?\u1072? \u1076?\u1077?\u1083?\u1092?\u1080?\u1085?\u1080?\u1090?\u1077?, \u1080? \u1079?\u1072? \u1086?\u1090?\u1084?\u1103?\u1085?\u1072? \u1085?\u1072? \u1056?\u1077?\u1096?\u1077?\u1085?\u1080?\u1077? 10126/14"/>
    <w:docVar w:name="LW_TYPE.DOC.CP" w:val="\u1056?\u1045?\u1064?\u1045?\u1053?\u1048?\u1045? \u1053?\u1040? \u1057?\u1066?\u1042?\u1045?\u1058?\u1040?"/>
    <w:docVar w:name="Stamp" w:val="\\dossiers.dgt.cec.eu.int\dossiers\MARE\MARE-2018-00541\MARE-2018-00541-00-06-EN-EDT-00.201812071101162664082.DOCX"/>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0"/>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0"/>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466">
      <w:bodyDiv w:val="1"/>
      <w:marLeft w:val="0"/>
      <w:marRight w:val="0"/>
      <w:marTop w:val="0"/>
      <w:marBottom w:val="0"/>
      <w:divBdr>
        <w:top w:val="none" w:sz="0" w:space="0" w:color="auto"/>
        <w:left w:val="none" w:sz="0" w:space="0" w:color="auto"/>
        <w:bottom w:val="none" w:sz="0" w:space="0" w:color="auto"/>
        <w:right w:val="none" w:sz="0" w:space="0" w:color="auto"/>
      </w:divBdr>
      <w:divsChild>
        <w:div w:id="177087460">
          <w:marLeft w:val="0"/>
          <w:marRight w:val="0"/>
          <w:marTop w:val="0"/>
          <w:marBottom w:val="0"/>
          <w:divBdr>
            <w:top w:val="none" w:sz="0" w:space="0" w:color="auto"/>
            <w:left w:val="none" w:sz="0" w:space="0" w:color="auto"/>
            <w:bottom w:val="none" w:sz="0" w:space="0" w:color="auto"/>
            <w:right w:val="none" w:sz="0" w:space="0" w:color="auto"/>
          </w:divBdr>
        </w:div>
        <w:div w:id="1955163926">
          <w:marLeft w:val="0"/>
          <w:marRight w:val="0"/>
          <w:marTop w:val="0"/>
          <w:marBottom w:val="0"/>
          <w:divBdr>
            <w:top w:val="none" w:sz="0" w:space="0" w:color="auto"/>
            <w:left w:val="none" w:sz="0" w:space="0" w:color="auto"/>
            <w:bottom w:val="none" w:sz="0" w:space="0" w:color="auto"/>
            <w:right w:val="none" w:sz="0" w:space="0" w:color="auto"/>
          </w:divBdr>
        </w:div>
        <w:div w:id="910889472">
          <w:marLeft w:val="0"/>
          <w:marRight w:val="0"/>
          <w:marTop w:val="0"/>
          <w:marBottom w:val="0"/>
          <w:divBdr>
            <w:top w:val="none" w:sz="0" w:space="0" w:color="auto"/>
            <w:left w:val="none" w:sz="0" w:space="0" w:color="auto"/>
            <w:bottom w:val="none" w:sz="0" w:space="0" w:color="auto"/>
            <w:right w:val="none" w:sz="0" w:space="0" w:color="auto"/>
          </w:divBdr>
        </w:div>
        <w:div w:id="185485113">
          <w:marLeft w:val="0"/>
          <w:marRight w:val="0"/>
          <w:marTop w:val="0"/>
          <w:marBottom w:val="0"/>
          <w:divBdr>
            <w:top w:val="none" w:sz="0" w:space="0" w:color="auto"/>
            <w:left w:val="none" w:sz="0" w:space="0" w:color="auto"/>
            <w:bottom w:val="none" w:sz="0" w:space="0" w:color="auto"/>
            <w:right w:val="none" w:sz="0" w:space="0" w:color="auto"/>
          </w:divBdr>
        </w:div>
        <w:div w:id="210602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5D6A-D52F-46A6-B167-2185AE0A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2465</Words>
  <Characters>13758</Characters>
  <Application>Microsoft Office Word</Application>
  <DocSecurity>0</DocSecurity>
  <Lines>259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2019-02-15T11:33:00Z</dcterms:created>
  <dcterms:modified xsi:type="dcterms:W3CDTF">2019-03-08T09:38:00Z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