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37BECDE-EFA2-4242-9D97-61C837951E47" style="width:450.8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 I</w:t>
      </w:r>
    </w:p>
    <w:p>
      <w:pPr>
        <w:pStyle w:val="Header"/>
        <w:jc w:val="center"/>
        <w:rPr>
          <w:b/>
          <w:noProof/>
        </w:rPr>
      </w:pPr>
      <w:r>
        <w:rPr>
          <w:noProof/>
        </w:rPr>
        <w:t>Позиция, която трябва да се заеме от името на Съюза в Междуамериканската комисия за тропическа риба тон (IATTC) и в Срещата на страните по Споразумението за Международната програма за опазване на делфините (Споразумението за IDCP)</w:t>
      </w:r>
    </w:p>
    <w:p>
      <w:pPr>
        <w:pStyle w:val="Heading1"/>
        <w:numPr>
          <w:ilvl w:val="0"/>
          <w:numId w:val="5"/>
        </w:numPr>
        <w:rPr>
          <w:noProof/>
        </w:rPr>
      </w:pP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рамките на IATTC и на Срещата на страните по Споразумението за IDCP Съюзът:</w:t>
      </w:r>
    </w:p>
    <w:p>
      <w:pPr>
        <w:pStyle w:val="Point0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действа в съответствие с целите и принципите, които си е поставил в рамките на общата политика в областта на рибарството, по-специално чрез подхода на предпазливост и целите, свързани с постигането на максимален устойчив улов, както е посочено в член 2, параграф 2 от Регламент (ЕС) № 1380/2013, така че да се насърчи прилагането на екосистемен подход към управлението на рибарството, да се предотврати и намали, доколкото е възможно, нежеланият улов и постепенно да се премахне изхвърлянето на улов, да се сведе до минимум въздействието на риболовните дейности върху морските екосистеми и техните местообитания, както и да се осигури — посредством насърчаване на икономически жизнеспособен и конкурентоспособен сектор на рибарството в Съюза — справедлив жизнен стандарт за хората, чийто поминък зависи от риболовните дейности, при отчитане на интересите на потребителите;</w:t>
      </w:r>
    </w:p>
    <w:p>
      <w:pPr>
        <w:pStyle w:val="Point0"/>
        <w:rPr>
          <w:noProof/>
        </w:rPr>
      </w:pPr>
      <w:r>
        <w:rPr>
          <w:noProof/>
        </w:rPr>
        <w:t xml:space="preserve">б) </w:t>
      </w:r>
      <w:r>
        <w:rPr>
          <w:noProof/>
        </w:rPr>
        <w:tab/>
        <w:t>се стреми да осигури подходящо участие на заинтересованите страни в подготвителния етап на мерките на IATTC и Споразумението за IDCP и да гарантира, че мерките, приети в рамките на IATTC и на Срещата на страните по Споразумението за IDCP, са съобразени съответно с целите на Конвенцията от Антигуа и на Споразумението за IDCP;</w:t>
      </w:r>
    </w:p>
    <w:p>
      <w:pPr>
        <w:pStyle w:val="Point0"/>
        <w:rPr>
          <w:noProof/>
        </w:rPr>
      </w:pPr>
      <w:r>
        <w:rPr>
          <w:noProof/>
        </w:rPr>
        <w:t xml:space="preserve">в) </w:t>
      </w:r>
      <w:r>
        <w:rPr>
          <w:noProof/>
        </w:rPr>
        <w:tab/>
        <w:t>гарантира, че мерките, приети в рамките на IATTC и на Срещата на страните по Споразумението за IDCP, са в съответствие с международното право, и по-специално с разпоредбите на Конвенцията на ООН от 1982 г. по морско право, Споразумението на ООН от 1995 г., отнасящо се до опазването и управлението на трансгранично преминаващите и далекомигриращите рибни запаси, Споразумението от 1993 г.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 г. за мерките на пристанищната държава;</w:t>
      </w:r>
    </w:p>
    <w:p>
      <w:pPr>
        <w:pStyle w:val="Point0"/>
        <w:rPr>
          <w:noProof/>
        </w:rPr>
      </w:pPr>
      <w:r>
        <w:rPr>
          <w:noProof/>
        </w:rPr>
        <w:t xml:space="preserve">г) </w:t>
      </w:r>
      <w:r>
        <w:rPr>
          <w:noProof/>
        </w:rPr>
        <w:tab/>
        <w:t>насърчава позициите, съответстващи на най-добрите практики на регионалните организации за управление на рибарството (РОУР) в съответната зона;</w:t>
      </w:r>
    </w:p>
    <w:p>
      <w:pPr>
        <w:pStyle w:val="Point0"/>
        <w:rPr>
          <w:noProof/>
          <w:szCs w:val="24"/>
        </w:rPr>
      </w:pPr>
      <w:r>
        <w:rPr>
          <w:noProof/>
        </w:rPr>
        <w:t xml:space="preserve">д) </w:t>
      </w:r>
      <w:r>
        <w:rPr>
          <w:noProof/>
        </w:rPr>
        <w:tab/>
        <w:t>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— по-специално в областта на външните отношения, заетостта, околната среда, търговията, развитието, научните изследвания и иновациите;</w:t>
      </w:r>
    </w:p>
    <w:p>
      <w:pPr>
        <w:pStyle w:val="Point0"/>
        <w:rPr>
          <w:noProof/>
          <w:szCs w:val="24"/>
        </w:rPr>
      </w:pPr>
      <w:r>
        <w:rPr>
          <w:noProof/>
        </w:rPr>
        <w:t>е)</w:t>
      </w:r>
      <w:r>
        <w:rPr>
          <w:noProof/>
        </w:rPr>
        <w:tab/>
        <w:t>гарантира спазването на своите международни ангажименти;</w:t>
      </w:r>
    </w:p>
    <w:p>
      <w:pPr>
        <w:pStyle w:val="Point0"/>
        <w:rPr>
          <w:noProof/>
          <w:szCs w:val="24"/>
        </w:rPr>
      </w:pPr>
      <w:r>
        <w:rPr>
          <w:noProof/>
        </w:rPr>
        <w:t xml:space="preserve">ж) </w:t>
      </w:r>
      <w:r>
        <w:rPr>
          <w:noProof/>
        </w:rPr>
        <w:tab/>
        <w:t>се придържа към заключенията на Съвета от 19 март 2012 г. във връзка със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1"/>
      </w:r>
      <w:r>
        <w:rPr>
          <w:noProof/>
        </w:rPr>
        <w:t>;</w:t>
      </w:r>
    </w:p>
    <w:p>
      <w:pPr>
        <w:pStyle w:val="Point0"/>
        <w:rPr>
          <w:noProof/>
          <w:szCs w:val="24"/>
        </w:rPr>
      </w:pPr>
      <w:r>
        <w:rPr>
          <w:noProof/>
        </w:rPr>
        <w:t xml:space="preserve">з) </w:t>
      </w:r>
      <w:r>
        <w:rPr>
          <w:noProof/>
        </w:rPr>
        <w:tab/>
        <w:t>се стреми да създава равноправни условия за флота на Съюза в зоната на Конвенцията IATTC въз основа на същите принципи и стандарти като тези, приложими съгласно правото на Съюза, и да насърчава еднаквото прилагане на тези принципи и стандарти;</w:t>
      </w:r>
    </w:p>
    <w:p>
      <w:pPr>
        <w:pStyle w:val="Point0"/>
        <w:rPr>
          <w:noProof/>
          <w:szCs w:val="24"/>
        </w:rPr>
      </w:pPr>
      <w:r>
        <w:rPr>
          <w:noProof/>
        </w:rPr>
        <w:t xml:space="preserve">и) </w:t>
      </w:r>
      <w:r>
        <w:rPr>
          <w:noProof/>
        </w:rPr>
        <w:tab/>
        <w:t>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2"/>
      </w:r>
      <w:r>
        <w:rPr>
          <w:noProof/>
        </w:rPr>
        <w:t>, и към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3"/>
      </w:r>
      <w:r>
        <w:rPr>
          <w:noProof/>
        </w:rPr>
        <w:t>, и насърчава мерките за подпомагане и повишаване на ефективността на IATTC и на Споразумението за IDCP и, когато е уместно, за подобряване на тяхното управление и постиганите от тях резултати (по-специално по отношение на науката, спазването на приложимите разпоредби, прозрачността и вземането на решения);</w:t>
      </w:r>
    </w:p>
    <w:p>
      <w:pPr>
        <w:pStyle w:val="Point0"/>
        <w:rPr>
          <w:noProof/>
          <w:szCs w:val="24"/>
        </w:rPr>
      </w:pPr>
      <w:r>
        <w:rPr>
          <w:noProof/>
        </w:rPr>
        <w:t xml:space="preserve">й) </w:t>
      </w:r>
      <w:r>
        <w:rPr>
          <w:noProof/>
        </w:rPr>
        <w:tab/>
        <w:t>насърчава координацията между РОУР и регионалните морски конвенции, както и — когато е целесъобразно — сътрудничеството със световни организации в рамките на техните мандати;</w:t>
      </w:r>
    </w:p>
    <w:p>
      <w:pPr>
        <w:pStyle w:val="Point0"/>
        <w:rPr>
          <w:noProof/>
          <w:szCs w:val="24"/>
        </w:rPr>
      </w:pPr>
      <w:r>
        <w:rPr>
          <w:noProof/>
        </w:rPr>
        <w:t>к)</w:t>
      </w:r>
      <w:r>
        <w:rPr>
          <w:noProof/>
        </w:rPr>
        <w:tab/>
        <w:t>насърчава координацията и сътрудничеството с други РОУР, отговарящи за улова на риба тон, по въпроси от общ интерес — по-специално чрез възобновяването на т.нар. „процес от Кобе“ по отношение на РОУР за рибата тон и разширяването му, така че да обхване всички РОУР.</w:t>
      </w:r>
    </w:p>
    <w:p>
      <w:pPr>
        <w:pStyle w:val="Heading1"/>
        <w:rPr>
          <w:noProof/>
        </w:rPr>
      </w:pPr>
      <w:r>
        <w:rPr>
          <w:noProof/>
        </w:rPr>
        <w:t>НАСОКИ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При необходимост Съюзът се стреми да подкрепя предприемането на следните действия от страна на IATTC и на Споразумението за IDCP:</w:t>
      </w:r>
    </w:p>
    <w:p>
      <w:pPr>
        <w:pStyle w:val="Point0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мерки за опазване и управление на рибните ресурси в зоната на Конвенцията от Антигуа въз основа на най-добрите налични научни становища, включително общ допустим улов и квоти или регулиране на усилието по отношение на живите морски биологични ресурси, регулирани от IATTC, с които мерки ще може да се постигне устойчива експлоатация на нивата, на които се получава максимален устойчив улов, чрез постепенно и постъпателно нарастване най-късно до 2020 г. При необходимост тези мерки за опазване и управление трябва да включват специални мерки за запасите, които са подложени на прекомерен улов, за да се гарантира, че риболовното усилие отговаря на наличните възможности за риболов;</w:t>
      </w:r>
    </w:p>
    <w:p>
      <w:pPr>
        <w:pStyle w:val="Point0"/>
        <w:rPr>
          <w:noProof/>
        </w:rPr>
      </w:pPr>
      <w:r>
        <w:rPr>
          <w:noProof/>
        </w:rPr>
        <w:t xml:space="preserve">б) </w:t>
      </w:r>
      <w:r>
        <w:rPr>
          <w:noProof/>
        </w:rPr>
        <w:tab/>
        <w:t>мерки за предотвратяване, възпиране и премахване на незаконния, недеклариран и нерегулиран риболов в зоната на конвенцията, включително списък на корабите, извършващи такъв риболов;</w:t>
      </w:r>
    </w:p>
    <w:p>
      <w:pPr>
        <w:pStyle w:val="Point0"/>
        <w:rPr>
          <w:noProof/>
        </w:rPr>
      </w:pPr>
      <w:r>
        <w:rPr>
          <w:noProof/>
        </w:rPr>
        <w:t xml:space="preserve">в) </w:t>
      </w:r>
      <w:r>
        <w:rPr>
          <w:noProof/>
        </w:rPr>
        <w:tab/>
        <w:t>мерки за наблюдение, контрол и надзор в зоната на Конвенцията от Антигуа, в това число приемане на мерки на пристанищната държава и укрепване на системите за наблюдение на корабите, с цел да се осигури ефективност на контрола и спазване на мерките, приети в рамките на IATTC;</w:t>
      </w:r>
    </w:p>
    <w:p>
      <w:pPr>
        <w:pStyle w:val="Point0"/>
        <w:rPr>
          <w:noProof/>
        </w:rPr>
      </w:pPr>
      <w:r>
        <w:rPr>
          <w:noProof/>
        </w:rPr>
        <w:t xml:space="preserve">г) </w:t>
      </w:r>
      <w:r>
        <w:rPr>
          <w:noProof/>
        </w:rPr>
        <w:tab/>
        <w:t>мерки за максимално ограничаване на отрицателното въздействие на риболовните дейности върху морското биологично разнообразие и морските екосистеми и техните местообитания, включително мерки за намаляване на замърсяването на морската среда и предотвратяване на изхвърлянето на пластмаси в морето, както и за намаляване на въздействието на намиращите се в морето пластмаси върху морското биологично разнообразие и екосистемите, мерки за защита на уязвимите морски екосистеми в зоната на Конвенцията от Антигуа в съответствие с резолюциите на Общото събрание на ООН и мерки за избягване и намаляване, доколкото е възможно, на нежелания улов, включително и по-специално на уязвимите морски видове, и мерки за постепенно премахване на изхвърлянето на улов;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мерки за управление на използването на устройства за привличане на рибата — по-специално за подобряване на събирането на данни, за точното количествено определяне, проследяване и наблюдение на използването на такива устройства, за намаляване на въздействието върху уязвимите запаси от риба тон, за смекчаване на потенциалното им въздействие върху целевите и нецелевите видове и върху екосистемите, и за намаляване на приноса към морските отпадъци;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мерки за намаляване на въздействието на изоставените, изгубени или изхвърлени по друг начин риболовни уреди в океаните и за улесняване на идентифицирането и прибирането на тези уреди;</w:t>
      </w:r>
    </w:p>
    <w:p>
      <w:pPr>
        <w:pStyle w:val="Point0"/>
        <w:rPr>
          <w:noProof/>
        </w:rPr>
      </w:pPr>
      <w:r>
        <w:rPr>
          <w:noProof/>
        </w:rPr>
        <w:t xml:space="preserve">ж) </w:t>
      </w:r>
      <w:r>
        <w:rPr>
          <w:noProof/>
        </w:rPr>
        <w:tab/>
        <w:t>мерки, с които се укрепва системата за контрол на спазването на правилата в организацията и се осигурява ефективно проследяване на предприеманите от държавите на знамето действия за разрешаване на проблемите, свързани с неспазването на правилата;</w:t>
      </w:r>
    </w:p>
    <w:p>
      <w:pPr>
        <w:pStyle w:val="Point0"/>
        <w:rPr>
          <w:noProof/>
        </w:rPr>
      </w:pPr>
      <w:r>
        <w:rPr>
          <w:noProof/>
        </w:rPr>
        <w:t xml:space="preserve">з) </w:t>
      </w:r>
      <w:r>
        <w:rPr>
          <w:noProof/>
        </w:rPr>
        <w:tab/>
        <w:t>мерки, с които се забранява риболовът, извършван единствено с цел добиване на перки от акули, и с които се изисква всички акули да бъдат разтоварвани с всичките си естествено прикрепени към трупа перки;</w:t>
      </w:r>
    </w:p>
    <w:p>
      <w:pPr>
        <w:pStyle w:val="Point0"/>
        <w:rPr>
          <w:noProof/>
        </w:rPr>
      </w:pPr>
      <w:r>
        <w:rPr>
          <w:noProof/>
        </w:rPr>
        <w:t>и)</w:t>
      </w:r>
      <w:r>
        <w:rPr>
          <w:noProof/>
        </w:rPr>
        <w:tab/>
        <w:t>разработване, когато е целесъобразно, на съвместни подходи с други РОУР — по-специално с тези от тях, които участват в управлението на рибарството в същата зона;</w:t>
      </w:r>
    </w:p>
    <w:p>
      <w:pPr>
        <w:pStyle w:val="Point0"/>
        <w:rPr>
          <w:noProof/>
        </w:rPr>
      </w:pPr>
      <w:r>
        <w:rPr>
          <w:noProof/>
        </w:rPr>
        <w:t xml:space="preserve">й) </w:t>
      </w:r>
      <w:r>
        <w:rPr>
          <w:noProof/>
        </w:rPr>
        <w:tab/>
        <w:t xml:space="preserve">допълнителни технически мерки въз основа на становищата, предоставяни от органите и работните групи на IATTC и на Срещата на страните по Споразумението за IDCP; </w:t>
      </w:r>
    </w:p>
    <w:p>
      <w:pPr>
        <w:pStyle w:val="Point0"/>
        <w:rPr>
          <w:noProof/>
        </w:rPr>
      </w:pPr>
      <w:r>
        <w:rPr>
          <w:noProof/>
        </w:rPr>
        <w:t>к)</w:t>
      </w:r>
      <w:r>
        <w:rPr>
          <w:noProof/>
        </w:rPr>
        <w:tab/>
        <w:t>постепенно намаляване на случайната смъртност при улова на риба тон с мрежи гъргър до нива, близки до нулата, и извършване на редовни оценки на популацията на делфините;</w:t>
      </w:r>
    </w:p>
    <w:p>
      <w:pPr>
        <w:pStyle w:val="Point0"/>
        <w:rPr>
          <w:noProof/>
        </w:rPr>
      </w:pPr>
      <w:r>
        <w:rPr>
          <w:noProof/>
        </w:rPr>
        <w:t>л)</w:t>
      </w:r>
      <w:r>
        <w:rPr>
          <w:noProof/>
        </w:rPr>
        <w:tab/>
        <w:t xml:space="preserve">препоръки — когато е целесъобразно и дотолкова, доколкото е разрешено по силата на съответните учредителни документи — които насърчават прилагането на Конвенцията относно условията на труд в сектора на риболова на Международната организация на труда; </w:t>
      </w:r>
    </w:p>
    <w:p>
      <w:pPr>
        <w:pStyle w:val="Point0"/>
        <w:rPr>
          <w:noProof/>
        </w:rPr>
      </w:pPr>
      <w:r>
        <w:rPr>
          <w:noProof/>
        </w:rPr>
        <w:t>м)</w:t>
      </w:r>
      <w:r>
        <w:rPr>
          <w:noProof/>
        </w:rPr>
        <w:tab/>
        <w:t>мерки, с които се осигурява ефективността на организацията, в това число извършване на редовни прегледи на постигнатите резултати.</w:t>
      </w:r>
    </w:p>
    <w:p>
      <w:pPr>
        <w:pStyle w:val="Point0"/>
        <w:rPr>
          <w:noProof/>
        </w:rPr>
      </w:pPr>
    </w:p>
    <w:p>
      <w:pPr>
        <w:pStyle w:val="Point0"/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jc w:val="center"/>
        <w:rPr>
          <w:rFonts w:eastAsia="Calibri"/>
          <w:b/>
          <w:noProof/>
          <w:szCs w:val="20"/>
          <w:u w:val="single"/>
        </w:rPr>
      </w:pPr>
      <w:r>
        <w:rPr>
          <w:b/>
          <w:noProof/>
          <w:u w:val="single"/>
        </w:rPr>
        <w:t xml:space="preserve">Ежегодно уточняване на позицията на Съюза, която трябва да се заеме на заседанията на Междуамериканската комисия за тропическа риба тон и на Срещата на страните по Споразумението за Международната програма за опазване на делфините </w:t>
      </w:r>
    </w:p>
    <w:p>
      <w:pPr>
        <w:jc w:val="center"/>
        <w:rPr>
          <w:rFonts w:eastAsia="Calibri"/>
          <w:b/>
          <w:i/>
          <w:strike/>
          <w:noProof/>
          <w:szCs w:val="20"/>
          <w:u w:val="single"/>
        </w:rPr>
      </w:pPr>
    </w:p>
    <w:p>
      <w:pPr>
        <w:rPr>
          <w:rFonts w:eastAsia="Calibri"/>
          <w:noProof/>
          <w:szCs w:val="20"/>
        </w:rPr>
      </w:pPr>
      <w:r>
        <w:rPr>
          <w:noProof/>
        </w:rPr>
        <w:t>Преди всяко заседание на IATTC и на Срещата на страните по Споразумението за IDCP, когато тези органи имат за задача да приемат решения с правно действие за Съюза, трябва да бъдат предприети необходимите действия, така че в позицията, която ще бъде изразена от името на Съюза, да бъде взета под внимание най-актуалната научна и друга важна информация, предадена на Европейската комисия, в съответствие с принципите и насоките, определени в приложение I.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IATTC и на Срещата на страните по Споразумението за IDCP писмен документ, съдържащ елементите във връзка с предложеното уточняване на позицията, която трябва да бъде изразена от името на Съюза, за обсъждане и одобряване на детайлите по нея.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Ако по време на заседание на IATTC или на Срещата на страните по Споразумението за IDCP не е възможно да се постигне споразумение — включително на място — позволяващо отразяването на нови елементи в позицията на Съюза, въпросът трябва да бъде отнесен до Съвета или до подготвителните му органи.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 xml:space="preserve">7087/12 REV 1 ADD 1 COR 1.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3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7348/1/17 REV 1, 24.3.2017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06CB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8671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54EBC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884D0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62469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5866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E001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BF49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8 10:40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737BECDE-EFA2-4242-9D97-61C837951E47"/>
    <w:docVar w:name="LW_COVERPAGE_TYPE" w:val="1"/>
    <w:docVar w:name="LW_CROSSREFERENCE" w:val="&lt;UNUSED&gt;"/>
    <w:docVar w:name="LW_DocType" w:val="ANNEX"/>
    <w:docVar w:name="LW_EMISSION" w:val="8.3.2019"/>
    <w:docVar w:name="LW_EMISSION_ISODATE" w:val="2019-03-08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52?\u1077?\u1078?\u1076?\u1091?\u1072?\u1084?\u1077?\u1088?\u1080?\u1082?\u1072?\u1085?\u1089?\u1082?\u1072?\u1090?\u1072? \u1082?\u1086?\u1084?\u1080?\u1089?\u1080?\u1103? \u1079?\u1072? \u1090?\u1088?\u1086?\u1087?\u1080?\u1095?\u1077?\u1089?\u1082?\u1072? \u1088?\u1080?\u1073?\u1072? \u1090?\u1086?\u1085? \u1080? \u1074? \u1057?\u1088?\u1077?\u1097?\u1072?\u1090?\u1072? \u1085?\u1072? \u1089?\u1090?\u1088?\u1072?\u1085?\u1080?\u1090?\u1077? \u1087?\u1086? \u1057?\u1087?\u1086?\u1088?\u1072?\u1079?\u1091?\u1084?\u1077?\u1085?\u1080?\u1077?\u1090?\u1086? \u1079?\u1072? \u1052?\u1077?\u1078?\u1076?\u1091?\u1085?\u1072?\u1088?\u1086?\u1076?\u1085?\u1072?\u1090?\u1072? \u1087?\u1088?\u1086?\u1075?\u1088?\u1072?\u1084?\u1072? \u1079?\u1072? \u1086?\u1087?\u1072?\u1079?\u1074?\u1072?\u1085?\u1077? \u1085?\u1072? \u1076?\u1077?\u1083?\u1092?\u1080?\u1085?\u1080?\u1090?\u1077?, \u1080? \u1079?\u1072? \u1086?\u1090?\u1084?\u1103?\u1085?\u1072? \u1085?\u1072? \u1056?\u1077?\u1096?\u1077?\u1085?\u1080?\u1077? 10126/14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52?\u1077?\u1078?\u1076?\u1091?\u1072?\u1084?\u1077?\u1088?\u1080?\u1082?\u1072?\u1085?\u1089?\u1082?\u1072?\u1090?\u1072? \u1082?\u1086?\u1084?\u1080?\u1089?\u1080?\u1103? \u1079?\u1072? \u1090?\u1088?\u1086?\u1087?\u1080?\u1095?\u1077?\u1089?\u1082?\u1072? \u1088?\u1080?\u1073?\u1072? \u1090?\u1086?\u1085? \u1080? \u1074? \u1057?\u1088?\u1077?\u1097?\u1072?\u1090?\u1072? \u1085?\u1072? \u1089?\u1090?\u1088?\u1072?\u1085?\u1080?\u1090?\u1077? \u1087?\u1086? \u1057?\u1087?\u1086?\u1088?\u1072?\u1079?\u1091?\u1084?\u1077?\u1085?\u1080?\u1077?\u1090?\u1086? \u1079?\u1072? \u1052?\u1077?\u1078?\u1076?\u1091?\u1085?\u1072?\u1088?\u1086?\u1076?\u1085?\u1072?\u1090?\u1072? \u1087?\u1088?\u1086?\u1075?\u1088?\u1072?\u1084?\u1072? \u1079?\u1072? \u1086?\u1087?\u1072?\u1079?\u1074?\u1072?\u1085?\u1077? \u1085?\u1072? \u1076?\u1077?\u1083?\u1092?\u1080?\u1085?\u1080?\u1090?\u1077?, \u1080? \u1079?\u1072? \u1086?\u1090?\u1084?\u1103?\u1085?\u1072? \u1085?\u1072? \u1056?\u1077?\u1096?\u1077?\u1085?\u1080?\u1077? 10126/14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1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96?\u1077?\u1085?\u1080?\u1077? \u1085?\u1072? \u1057?\u1098?\u1074?\u1077?\u1090?\u1072?_x000b_"/>
    <w:docVar w:name="LW_TYPEACTEPRINCIPAL.CP" w:val="\u1055?\u1088?\u1077?\u1076?\u1083?\u1086?\u1078?\u1077?\u1085?\u1080?\u1077? \u1079?\u1072? \u1056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10CB-E3FE-4BC7-B24E-7F99B6B3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1447</Words>
  <Characters>8224</Characters>
  <Application>Microsoft Office Word</Application>
  <DocSecurity>0</DocSecurity>
  <Lines>155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2019-02-28T16:46:00Z</dcterms:created>
  <dcterms:modified xsi:type="dcterms:W3CDTF">2019-03-08T09:40:00Z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</Properties>
</file>