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488011-91B8-44D7-9E0F-2A751883895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the annual meetings of the </w:t>
      </w:r>
      <w:r>
        <w:rPr>
          <w:rFonts w:eastAsia="Arial Unicode MS"/>
          <w:noProof/>
        </w:rPr>
        <w:t xml:space="preserve">Commission for the Conservation of Antarctic Marine Living Resources (CCAMLR) </w:t>
      </w:r>
      <w:r>
        <w:rPr>
          <w:rFonts w:eastAsia="Times New Roman"/>
          <w:noProof/>
          <w:lang w:eastAsia="en-GB"/>
        </w:rPr>
        <w:t>for the period 2019-2023</w:t>
      </w:r>
      <w:r>
        <w:rPr>
          <w:noProof/>
          <w:szCs w:val="24"/>
        </w:rPr>
        <w:t xml:space="preserve"> </w:t>
      </w:r>
      <w:r>
        <w:rPr>
          <w:rFonts w:eastAsia="Times New Roman"/>
          <w:noProof/>
          <w:lang w:eastAsia="en-GB"/>
        </w:rPr>
        <w:t>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for the Conservation of Antarctic Marine Living Resources</w:t>
      </w:r>
    </w:p>
    <w:p>
      <w:pPr>
        <w:autoSpaceDE w:val="0"/>
        <w:autoSpaceDN w:val="0"/>
        <w:adjustRightInd w:val="0"/>
        <w:spacing w:before="0" w:after="0"/>
        <w:rPr>
          <w:rFonts w:eastAsia="Arial Unicode MS"/>
          <w:noProof/>
        </w:rPr>
      </w:pPr>
      <w:r>
        <w:rPr>
          <w:rFonts w:eastAsia="Arial Unicode MS"/>
          <w:noProof/>
        </w:rPr>
        <w:t xml:space="preserve">The objective of the Convention for the Conservation of Antarctic Marine Living Resources (CAMLR Convention) is </w:t>
      </w:r>
      <w:r>
        <w:rPr>
          <w:noProof/>
          <w:szCs w:val="24"/>
        </w:rPr>
        <w:t xml:space="preserve">the conservation, including the rational use, of Antarctic marine living resources, which form part of the Antarctic ecosystem. </w:t>
      </w:r>
      <w:r>
        <w:rPr>
          <w:rFonts w:eastAsia="Arial Unicode MS"/>
          <w:noProof/>
        </w:rPr>
        <w:t>The Convention entered into force on 7 April 1982.</w:t>
      </w:r>
    </w:p>
    <w:p>
      <w:pPr>
        <w:rPr>
          <w:rFonts w:eastAsia="Arial Unicode MS"/>
          <w:noProof/>
        </w:rPr>
      </w:pPr>
      <w:r>
        <w:rPr>
          <w:rFonts w:eastAsia="Arial Unicode MS"/>
          <w:noProof/>
        </w:rPr>
        <w:t>The Union</w:t>
      </w:r>
      <w:r>
        <w:rPr>
          <w:rStyle w:val="FootnoteReference"/>
          <w:rFonts w:eastAsia="Arial Unicode MS"/>
          <w:noProof/>
        </w:rPr>
        <w:footnoteReference w:id="1"/>
      </w:r>
      <w:r>
        <w:rPr>
          <w:rFonts w:eastAsia="Arial Unicode MS"/>
          <w:noProof/>
        </w:rPr>
        <w:t xml:space="preserve"> and a number of its Member States</w:t>
      </w:r>
      <w:r>
        <w:rPr>
          <w:rStyle w:val="FootnoteReference"/>
          <w:rFonts w:eastAsia="Arial Unicode MS"/>
          <w:noProof/>
        </w:rPr>
        <w:footnoteReference w:id="2"/>
      </w:r>
      <w:r>
        <w:rPr>
          <w:rFonts w:eastAsia="Arial Unicode MS"/>
          <w:noProof/>
        </w:rPr>
        <w:t xml:space="preserve"> are contracting parties to the CAMLR Convention. </w:t>
      </w:r>
    </w:p>
    <w:p>
      <w:pPr>
        <w:pStyle w:val="ManualHeading2"/>
        <w:rPr>
          <w:noProof/>
        </w:rPr>
      </w:pPr>
      <w:r>
        <w:t>2.2.</w:t>
      </w:r>
      <w:r>
        <w:tab/>
      </w:r>
      <w:r>
        <w:rPr>
          <w:noProof/>
        </w:rPr>
        <w:t xml:space="preserve">Commission for the Conservation of Antarctic Marine Living Resources </w:t>
      </w:r>
    </w:p>
    <w:p>
      <w:pPr>
        <w:rPr>
          <w:noProof/>
        </w:rPr>
      </w:pPr>
      <w:r>
        <w:rPr>
          <w:rFonts w:eastAsia="Arial Unicode MS"/>
          <w:noProof/>
        </w:rPr>
        <w:t>The Commission for the Conservation of Antarctic Marine Living Resources (CCAMLR) is the body established by the CAMLR Convention to adopt measures to</w:t>
      </w:r>
      <w:r>
        <w:rPr>
          <w:noProof/>
        </w:rPr>
        <w:t xml:space="preserve"> ensure the conservation of Antarctic marine living resources, including their rational use. To this end, it formulates, adopts and revises conservation measures based on the best scientific evidence available. </w:t>
      </w:r>
      <w:r>
        <w:rPr>
          <w:rFonts w:eastAsia="Times New Roman"/>
          <w:noProof/>
          <w:lang w:eastAsia="en-GB"/>
        </w:rPr>
        <w:t>Such measures may become binding upon the Union.</w:t>
      </w:r>
    </w:p>
    <w:p>
      <w:pPr>
        <w:rPr>
          <w:rFonts w:eastAsia="Arial Unicode MS"/>
          <w:noProof/>
        </w:rPr>
      </w:pPr>
      <w:r>
        <w:rPr>
          <w:noProof/>
        </w:rPr>
        <w:t>As a member of the CCAMLR, the Union is entitled to participate in, and vote on, its decisions. The CCAMLR takes its decisions by consensus.</w:t>
      </w:r>
    </w:p>
    <w:p>
      <w:pPr>
        <w:pStyle w:val="ManualHeading2"/>
        <w:rPr>
          <w:noProof/>
        </w:rPr>
      </w:pPr>
      <w:r>
        <w:t>2.3.</w:t>
      </w:r>
      <w:r>
        <w:tab/>
      </w:r>
      <w:r>
        <w:rPr>
          <w:noProof/>
        </w:rPr>
        <w:t xml:space="preserve">CCAMLR decisions </w:t>
      </w:r>
    </w:p>
    <w:p>
      <w:pPr>
        <w:rPr>
          <w:rFonts w:eastAsia="Arial Unicode MS"/>
          <w:noProof/>
        </w:rPr>
      </w:pPr>
      <w:r>
        <w:rPr>
          <w:rFonts w:eastAsia="Arial Unicode MS"/>
          <w:noProof/>
        </w:rPr>
        <w:t>The CCAMLR meets at least once a year. It adopts conservation measures, based on the best available scientific information, that govern the use of marine living resources in the Antarctic.</w:t>
      </w:r>
    </w:p>
    <w:p>
      <w:pPr>
        <w:rPr>
          <w:rFonts w:eastAsia="Arial Unicode MS"/>
          <w:noProof/>
        </w:rPr>
      </w:pPr>
      <w:r>
        <w:rPr>
          <w:rFonts w:eastAsia="Arial Unicode MS"/>
          <w:noProof/>
        </w:rPr>
        <w:t>In accordance with Article IX.6 of the CAMLR Convention, members are notified of the measures immediately after the annual meetings and the measures become binding 180 days later. Members that object to such a measure within 90 days of being notified are not bound by that measure.</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lastRenderedPageBreak/>
        <w:t>For the CCAMLR, this approach is implemented by Council Decision 10840/14 of 25 June 2014 setting out the Union’s position in the CCAMLR for the period 2014-2018. The Decision contains general principles and orientations, but also takes into account to the extent possible the specificities of the CCAMLR.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Decision 10840/14 provides for a review of the Union’s position before the 2019 annual meeting. Therefore, this proposal sets out the Union’s position in the CCAMLR for the period 2019-2023, thereby replacing Decision 10840/14.</w:t>
      </w:r>
    </w:p>
    <w:p>
      <w:pPr>
        <w:rPr>
          <w:rFonts w:eastAsia="Times New Roman"/>
          <w:noProof/>
          <w:lang w:eastAsia="en-GB"/>
        </w:rPr>
      </w:pPr>
      <w:r>
        <w:rPr>
          <w:rFonts w:eastAsia="Times New Roman"/>
          <w:noProof/>
          <w:lang w:eastAsia="en-GB"/>
        </w:rPr>
        <w:t>Decision 10840/14 incorporated the principles and orientations of the new common fisheries policy (CFP), as laid down in Regulation (EU) No 1380/2013 of the European Parliament and of the Council</w:t>
      </w:r>
      <w:r>
        <w:rPr>
          <w:rStyle w:val="FootnoteReference"/>
          <w:noProof/>
        </w:rPr>
        <w:footnoteReference w:id="3"/>
      </w:r>
      <w:r>
        <w:rPr>
          <w:rFonts w:eastAsia="Times New Roman"/>
          <w:noProof/>
          <w:lang w:eastAsia="en-GB"/>
        </w:rPr>
        <w:t>, also taking into account the objectives set in the Commission’s Communication on the external dimension of the CFP</w:t>
      </w:r>
      <w:r>
        <w:rPr>
          <w:rStyle w:val="FootnoteReference"/>
          <w:noProof/>
        </w:rPr>
        <w:footnoteReference w:id="4"/>
      </w:r>
      <w:r>
        <w:rPr>
          <w:rFonts w:eastAsia="Times New Roman"/>
          <w:noProof/>
          <w:lang w:eastAsia="en-GB"/>
        </w:rPr>
        <w:t>. Moreover, it adjusted the Union’s position to the Lisbon Treaty.</w:t>
      </w:r>
    </w:p>
    <w:p>
      <w:pPr>
        <w:rPr>
          <w:noProof/>
        </w:rPr>
      </w:pPr>
      <w:r>
        <w:rPr>
          <w:noProof/>
        </w:rPr>
        <w:t xml:space="preserve">The current revision takes into consideration, in connection with the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5"/>
      </w:r>
      <w:r>
        <w:rPr>
          <w:noProof/>
        </w:rPr>
        <w:t xml:space="preserve">, the Joint Communication by the High Representative of the Union for Foreign Affairs and Security Policy and the Commission on </w:t>
      </w:r>
      <w:r>
        <w:rPr>
          <w:i/>
          <w:noProof/>
        </w:rPr>
        <w:t>International ocean governance: an agenda for the future of oceans</w:t>
      </w:r>
      <w:r>
        <w:rPr>
          <w:noProof/>
        </w:rPr>
        <w:t>’</w:t>
      </w:r>
      <w:r>
        <w:rPr>
          <w:rStyle w:val="FootnoteReference"/>
          <w:noProof/>
        </w:rPr>
        <w:footnoteReference w:id="6"/>
      </w:r>
      <w:r>
        <w:rPr>
          <w:noProof/>
        </w:rPr>
        <w:t xml:space="preserve"> and the Council conclusions on that Joint Communication</w:t>
      </w:r>
      <w:r>
        <w:rPr>
          <w:rStyle w:val="FootnoteReference"/>
          <w:noProof/>
        </w:rPr>
        <w:footnoteReference w:id="7"/>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8"/>
      </w:r>
      <w:r>
        <w:rPr>
          <w:noProof/>
        </w:rPr>
        <w:t>.</w:t>
      </w:r>
    </w:p>
    <w:p>
      <w:pPr>
        <w:pStyle w:val="ManualHeading3"/>
        <w:rPr>
          <w:noProof/>
        </w:rPr>
      </w:pPr>
      <w:r>
        <w:t>4.1.2.</w:t>
      </w:r>
      <w:r>
        <w:tab/>
      </w:r>
      <w:r>
        <w:rPr>
          <w:noProof/>
        </w:rPr>
        <w:t>Application to the present case</w:t>
      </w:r>
    </w:p>
    <w:p>
      <w:pPr>
        <w:rPr>
          <w:noProof/>
        </w:rPr>
      </w:pPr>
      <w:r>
        <w:rPr>
          <w:noProof/>
        </w:rPr>
        <w:t>The CCAMLR is a body set up by an agreement, namely the CAMLR Convention.</w:t>
      </w:r>
    </w:p>
    <w:p>
      <w:pPr>
        <w:rPr>
          <w:noProof/>
        </w:rPr>
      </w:pPr>
      <w:r>
        <w:rPr>
          <w:noProof/>
        </w:rPr>
        <w:t xml:space="preserve">The acts that the CCAMLR is called upon to adopt constitute acts having legal effects. They are to be binding under international law in accordance with Article X.6 of the CAMLR Convention and, because CCAMLR decisions may supplement, amend or replace obligations </w:t>
      </w:r>
      <w:r>
        <w:rPr>
          <w:noProof/>
        </w:rPr>
        <w:lastRenderedPageBreak/>
        <w:t>laid down in existing EU legislation, are capable of decisively influencing the content of that legislation, including:</w:t>
      </w:r>
    </w:p>
    <w:p>
      <w:pPr>
        <w:pStyle w:val="Bullet0"/>
        <w:numPr>
          <w:ilvl w:val="0"/>
          <w:numId w:val="11"/>
        </w:numPr>
        <w:rPr>
          <w:noProof/>
        </w:rPr>
      </w:pPr>
      <w:r>
        <w:rPr>
          <w:noProof/>
        </w:rPr>
        <w:t>Council Regulation (EC) No 1005/2008 establishing a Community system to prevent, deter and eliminate illegal, unreported and unregulated (IUU) fishing</w:t>
      </w:r>
      <w:r>
        <w:rPr>
          <w:rStyle w:val="FootnoteReference"/>
          <w:noProof/>
        </w:rPr>
        <w:footnoteReference w:id="9"/>
      </w:r>
      <w:r>
        <w:rPr>
          <w:noProof/>
        </w:rPr>
        <w:t>;</w:t>
      </w:r>
    </w:p>
    <w:p>
      <w:pPr>
        <w:pStyle w:val="Bullet0"/>
        <w:rPr>
          <w:noProof/>
        </w:rPr>
      </w:pPr>
      <w:r>
        <w:rPr>
          <w:noProof/>
        </w:rPr>
        <w:t>Council Regulation (EC) No 1224/2009 establishing a Community control system for ensuring compliance with the rules of the CFP</w:t>
      </w:r>
      <w:r>
        <w:rPr>
          <w:rStyle w:val="FootnoteReference"/>
          <w:noProof/>
        </w:rPr>
        <w:footnoteReference w:id="10"/>
      </w:r>
      <w:r>
        <w:rPr>
          <w:noProof/>
        </w:rPr>
        <w:t>;</w:t>
      </w:r>
    </w:p>
    <w:p>
      <w:pPr>
        <w:pStyle w:val="Bullet0"/>
        <w:rPr>
          <w:noProof/>
        </w:rPr>
      </w:pPr>
      <w:r>
        <w:rPr>
          <w:noProof/>
        </w:rPr>
        <w:t>Regulation (EU) 2017/2403 of the European Parliament and of the Council on the sustainable management of external fishing fleets</w:t>
      </w:r>
      <w:r>
        <w:rPr>
          <w:rStyle w:val="FootnoteReference"/>
          <w:noProof/>
        </w:rPr>
        <w:footnoteReference w:id="11"/>
      </w:r>
      <w:r>
        <w:rPr>
          <w:noProof/>
        </w:rPr>
        <w:t>;</w:t>
      </w:r>
    </w:p>
    <w:p>
      <w:pPr>
        <w:pStyle w:val="Bullet0"/>
        <w:rPr>
          <w:noProof/>
        </w:rPr>
      </w:pPr>
      <w:r>
        <w:rPr>
          <w:noProof/>
        </w:rPr>
        <w:t>Council Regulation (EC) No 600/2004 laying down certain technical measures applicable to fishing activities in the area covered by the Convention on the conservation of Antarctic marine living resources</w:t>
      </w:r>
      <w:r>
        <w:rPr>
          <w:rStyle w:val="FootnoteReference"/>
          <w:noProof/>
        </w:rPr>
        <w:footnoteReference w:id="12"/>
      </w:r>
      <w:r>
        <w:rPr>
          <w:noProof/>
        </w:rPr>
        <w:t>;</w:t>
      </w:r>
    </w:p>
    <w:p>
      <w:pPr>
        <w:pStyle w:val="Bullet0"/>
        <w:rPr>
          <w:noProof/>
        </w:rPr>
      </w:pPr>
      <w:r>
        <w:rPr>
          <w:noProof/>
        </w:rPr>
        <w:t>Council Regulation (EC) No 601/2004 laying down certain control measures applicable to fishing activities in the area covered by the Convention on the conservation of Antarctic marine living resources</w:t>
      </w:r>
      <w:r>
        <w:rPr>
          <w:rStyle w:val="FootnoteReference"/>
          <w:noProof/>
        </w:rPr>
        <w:footnoteReference w:id="13"/>
      </w:r>
      <w:r>
        <w:rPr>
          <w:noProof/>
        </w:rPr>
        <w:t xml:space="preserve">; and </w:t>
      </w:r>
    </w:p>
    <w:p>
      <w:pPr>
        <w:pStyle w:val="Bullet0"/>
        <w:rPr>
          <w:noProof/>
        </w:rPr>
      </w:pPr>
      <w:r>
        <w:rPr>
          <w:noProof/>
        </w:rPr>
        <w:t xml:space="preserve">Council Regulation (EC) No 1035/2001 establishing a catch documentation scheme for </w:t>
      </w:r>
      <w:r>
        <w:rPr>
          <w:i/>
          <w:noProof/>
        </w:rPr>
        <w:t>Dissostichus spp</w:t>
      </w:r>
      <w:r>
        <w:rPr>
          <w:rStyle w:val="FootnoteReference"/>
          <w:noProof/>
        </w:rPr>
        <w:footnoteReference w:id="14"/>
      </w:r>
      <w:r>
        <w:rPr>
          <w:noProof/>
        </w:rPr>
        <w:t xml:space="preserve">. </w:t>
      </w:r>
    </w:p>
    <w:p>
      <w:pPr>
        <w:rPr>
          <w:noProof/>
        </w:rPr>
      </w:pPr>
      <w:r>
        <w:rPr>
          <w:noProof/>
        </w:rPr>
        <w:t>The envisaged acts do not supplement or amend the institutional framework of the CAMLR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The Decision is to replace Council Decision 10840/14, 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Commission for the Conservation of Antarctic Marine Living Resources and repealing Decision 10840/14</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81/691/EEC</w:t>
      </w:r>
      <w:r>
        <w:rPr>
          <w:rStyle w:val="FootnoteReference"/>
          <w:noProof/>
        </w:rPr>
        <w:footnoteReference w:id="15"/>
      </w:r>
      <w:r>
        <w:rPr>
          <w:noProof/>
        </w:rPr>
        <w:t xml:space="preserve"> the European Community concluded the Convention on the Conservation of Antarctic Marine Living Resources (CAMLR Convention), which entered into force on 7 April 1982 and established the Commission for the Conservation of Antarctic Marine Living Resources (CCAMLR). Belgium, France, Germany, Italy, Poland, Spain, Sweden and the United Kingdom are also Contracting Parties to the CAMLR Convention. Finland, Greece and the Netherlands are Contracting Parties to the CAMLR Convention but not Members of the CCAMLR.</w:t>
      </w:r>
    </w:p>
    <w:p>
      <w:pPr>
        <w:pStyle w:val="ManualConsidrant"/>
        <w:rPr>
          <w:noProof/>
        </w:rPr>
      </w:pPr>
      <w:r>
        <w:t>(2)</w:t>
      </w:r>
      <w:r>
        <w:tab/>
      </w:r>
      <w:r>
        <w:rPr>
          <w:noProof/>
        </w:rPr>
        <w:t>Pursuant to Article IX.1 of the CAMLR Convention, the CCAMLR is responsible for the adoption of conservation measures at its annual meetings designed to ensure the conservation of Antarctic marine living resources, including their rational use.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6"/>
      </w:r>
      <w:r>
        <w:rPr>
          <w:noProof/>
          <w:sz w:val="16"/>
          <w:szCs w:val="16"/>
        </w:rPr>
        <w:t xml:space="preserve"> </w:t>
      </w:r>
      <w:r>
        <w:rPr>
          <w:noProof/>
        </w:rPr>
        <w:t xml:space="preserve">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w:t>
      </w:r>
      <w:r>
        <w:rPr>
          <w:noProof/>
        </w:rPr>
        <w:lastRenderedPageBreak/>
        <w:t>marine ecosystem and fishery resources. Besides, Regulation (EU) No 1380/2013 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7"/>
      </w:r>
      <w:r>
        <w:rPr>
          <w:noProof/>
        </w:rPr>
        <w:t>, and the Council conclusions on that Joint communication</w:t>
      </w:r>
      <w:r>
        <w:rPr>
          <w:rStyle w:val="FootnoteReference"/>
          <w:noProof/>
        </w:rPr>
        <w:footnoteReference w:id="18"/>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9"/>
      </w:r>
      <w:r>
        <w:rPr>
          <w:noProof/>
        </w:rPr>
        <w:t>, refers to specific measures to reduce plastics and marine pollution as well as the loss or abandonment at sea of fishing gear.</w:t>
      </w:r>
    </w:p>
    <w:p>
      <w:pPr>
        <w:pStyle w:val="ManualConsidrant"/>
        <w:rPr>
          <w:noProof/>
        </w:rPr>
      </w:pPr>
      <w:r>
        <w:t>(6)</w:t>
      </w:r>
      <w:r>
        <w:tab/>
      </w:r>
      <w:r>
        <w:rPr>
          <w:noProof/>
        </w:rPr>
        <w:t>It is appropriate to establish the position to be taken on the Union’s behalf in the meetings of the CCAMLR for the period 2019-2023, as the CCAMLR conservation measures will be binding on the Union and capable of decisively influencing the content of Union law, namely, Council Regulation (EC) No 1005/2008</w:t>
      </w:r>
      <w:r>
        <w:rPr>
          <w:rStyle w:val="FootnoteReference"/>
          <w:noProof/>
        </w:rPr>
        <w:footnoteReference w:id="20"/>
      </w:r>
      <w:r>
        <w:rPr>
          <w:noProof/>
        </w:rPr>
        <w:t>; Council Regulation (EC) No 1224/2009</w:t>
      </w:r>
      <w:r>
        <w:rPr>
          <w:rStyle w:val="FootnoteReference"/>
          <w:noProof/>
        </w:rPr>
        <w:footnoteReference w:id="21"/>
      </w:r>
      <w:r>
        <w:rPr>
          <w:noProof/>
        </w:rPr>
        <w:t>; Regulation (EU) 2017/2403 of the European Parliament and of the Council</w:t>
      </w:r>
      <w:r>
        <w:rPr>
          <w:rStyle w:val="FootnoteReference"/>
          <w:noProof/>
        </w:rPr>
        <w:footnoteReference w:id="22"/>
      </w:r>
      <w:r>
        <w:rPr>
          <w:noProof/>
        </w:rPr>
        <w:t>; Council Regulation 600/2004</w:t>
      </w:r>
      <w:r>
        <w:rPr>
          <w:rStyle w:val="FootnoteReference"/>
          <w:noProof/>
        </w:rPr>
        <w:footnoteReference w:id="23"/>
      </w:r>
      <w:r>
        <w:rPr>
          <w:noProof/>
        </w:rPr>
        <w:t>; Council Regulation 601/2004</w:t>
      </w:r>
      <w:r>
        <w:rPr>
          <w:rStyle w:val="FootnoteReference"/>
          <w:noProof/>
        </w:rPr>
        <w:footnoteReference w:id="24"/>
      </w:r>
      <w:r>
        <w:rPr>
          <w:noProof/>
        </w:rPr>
        <w:t xml:space="preserve"> and Council Regulation (EC) No 1035/2001</w:t>
      </w:r>
      <w:r>
        <w:rPr>
          <w:rStyle w:val="FootnoteReference"/>
          <w:noProof/>
        </w:rPr>
        <w:footnoteReference w:id="25"/>
      </w:r>
      <w:r>
        <w:rPr>
          <w:noProof/>
        </w:rPr>
        <w:t>.</w:t>
      </w:r>
    </w:p>
    <w:p>
      <w:pPr>
        <w:pStyle w:val="ManualConsidrant"/>
        <w:rPr>
          <w:noProof/>
        </w:rPr>
      </w:pPr>
      <w:r>
        <w:t>(7)</w:t>
      </w:r>
      <w:r>
        <w:tab/>
      </w:r>
      <w:r>
        <w:rPr>
          <w:noProof/>
        </w:rPr>
        <w:t>Currently the position to be taken on the Union’s behalf in the meetings of the CCAMLR is established by Council Decision 10840/14</w:t>
      </w:r>
      <w:r>
        <w:rPr>
          <w:rStyle w:val="FootnoteReference"/>
          <w:noProof/>
        </w:rPr>
        <w:footnoteReference w:id="26"/>
      </w:r>
      <w:r>
        <w:rPr>
          <w:noProof/>
        </w:rPr>
        <w:t>. It is appropriate to repeal Decision 10840/14 and to replace it by a new Decision for the period 2019-2023</w:t>
      </w:r>
    </w:p>
    <w:p>
      <w:pPr>
        <w:pStyle w:val="ManualConsidrant"/>
        <w:rPr>
          <w:noProof/>
        </w:rPr>
      </w:pPr>
      <w:r>
        <w:t>(8)</w:t>
      </w:r>
      <w:r>
        <w:tab/>
      </w:r>
      <w:r>
        <w:rPr>
          <w:noProof/>
        </w:rPr>
        <w:t xml:space="preserve">In view of the evolving nature of fishery resources in the CAMLR Convention Area and the consequent need for the position of the Union to take account of new </w:t>
      </w:r>
      <w:r>
        <w:rPr>
          <w:noProof/>
        </w:rPr>
        <w:lastRenderedPageBreak/>
        <w:t>developments, including new scientific and other relevant information presented before or during the meetings of the CCAMLR, procedures should be established, in line with the principle of sincere cooperation among the Union institutions enshrined in Article 13(2) of the Treaty on the European Union (TEU), for the year-to-year specification of the Union’s position for the period 2019-2023.</w:t>
      </w: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The position to be taken on the Union’s behalf in the meetings of the Commission for the Conservation of Antarctic Marine Living Resources (CCAMLR) 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CCAMLR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CCAMLR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Decision 10840/14 of 25 June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81/691/EEC (OJ L 252, 5.9.1981, p. 26).</w:t>
      </w:r>
    </w:p>
  </w:footnote>
  <w:footnote w:id="2">
    <w:p>
      <w:pPr>
        <w:pStyle w:val="FootnoteText"/>
      </w:pPr>
      <w:r>
        <w:rPr>
          <w:rStyle w:val="FootnoteReference"/>
        </w:rPr>
        <w:footnoteRef/>
      </w:r>
      <w:r>
        <w:tab/>
        <w:t>The following Member States have acceded to the Convention: Belgium (1980), Finland (1989, but not a member of the CCAMLR), France (1980), Germany (1980), Greece (1987, but not a member of the CCAMLR), Italy (1989), the Netherlands (1990), Poland (1980), Spain (1984), Sweden (1984) and the United Kingdom (1980).</w:t>
      </w:r>
    </w:p>
  </w:footnote>
  <w:footnote w:id="3">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rPr>
          <w:lang w:val="pt-PT"/>
        </w:rPr>
      </w:pPr>
      <w:r>
        <w:rPr>
          <w:rStyle w:val="FootnoteReference"/>
        </w:rPr>
        <w:footnoteRef/>
      </w:r>
      <w:r>
        <w:rPr>
          <w:lang w:val="pt-PT"/>
        </w:rPr>
        <w:tab/>
        <w:t xml:space="preserve">COM(2011) 424, </w:t>
      </w:r>
      <w:r>
        <w:rPr>
          <w:szCs w:val="24"/>
          <w:lang w:val="pt-PT"/>
        </w:rPr>
        <w:t>13.7.2011.</w:t>
      </w:r>
    </w:p>
  </w:footnote>
  <w:footnote w:id="5">
    <w:p>
      <w:pPr>
        <w:pStyle w:val="FootnoteText"/>
        <w:rPr>
          <w:lang w:val="pt-PT"/>
        </w:rPr>
      </w:pPr>
      <w:r>
        <w:rPr>
          <w:rStyle w:val="FootnoteReference"/>
        </w:rPr>
        <w:footnoteRef/>
      </w:r>
      <w:r>
        <w:rPr>
          <w:lang w:val="pt-PT"/>
        </w:rPr>
        <w:tab/>
        <w:t>COM(2018) 28 final, 16.1.2018.</w:t>
      </w:r>
    </w:p>
  </w:footnote>
  <w:footnote w:id="6">
    <w:p>
      <w:pPr>
        <w:pStyle w:val="FootnoteText"/>
        <w:rPr>
          <w:lang w:val="pt-PT"/>
        </w:rPr>
      </w:pPr>
      <w:r>
        <w:rPr>
          <w:rStyle w:val="FootnoteReference"/>
        </w:rPr>
        <w:footnoteRef/>
      </w:r>
      <w:r>
        <w:rPr>
          <w:lang w:val="pt-PT"/>
        </w:rPr>
        <w:tab/>
        <w:t>JOIN(2016) 49 final, 10.11.2016.</w:t>
      </w:r>
    </w:p>
  </w:footnote>
  <w:footnote w:id="7">
    <w:p>
      <w:pPr>
        <w:pStyle w:val="FootnoteText"/>
      </w:pPr>
      <w:r>
        <w:rPr>
          <w:rStyle w:val="FootnoteReference"/>
        </w:rPr>
        <w:footnoteRef/>
      </w:r>
      <w:r>
        <w:tab/>
        <w:t>7348/1/17 REV 1, 24.3.2017.</w:t>
      </w:r>
    </w:p>
  </w:footnote>
  <w:footnote w:id="8">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9">
    <w:p>
      <w:pPr>
        <w:pStyle w:val="FootnoteText"/>
        <w:rPr>
          <w:lang w:val="pl-PL"/>
        </w:rPr>
      </w:pPr>
      <w:r>
        <w:rPr>
          <w:rStyle w:val="FootnoteReference"/>
        </w:rPr>
        <w:footnoteRef/>
      </w:r>
      <w:r>
        <w:rPr>
          <w:lang w:val="pl-PL"/>
        </w:rPr>
        <w:tab/>
        <w:t>OJ L 286, 29.10.2008, p. 1.</w:t>
      </w:r>
    </w:p>
  </w:footnote>
  <w:footnote w:id="10">
    <w:p>
      <w:pPr>
        <w:pStyle w:val="FootnoteText"/>
        <w:rPr>
          <w:lang w:val="pl-PL"/>
        </w:rPr>
      </w:pPr>
      <w:r>
        <w:rPr>
          <w:rStyle w:val="FootnoteReference"/>
        </w:rPr>
        <w:footnoteRef/>
      </w:r>
      <w:r>
        <w:rPr>
          <w:lang w:val="pl-PL"/>
        </w:rPr>
        <w:tab/>
        <w:t>OJ L 343, 22.12.2009, p. 1.</w:t>
      </w:r>
    </w:p>
  </w:footnote>
  <w:footnote w:id="11">
    <w:p>
      <w:pPr>
        <w:pStyle w:val="FootnoteText"/>
        <w:rPr>
          <w:lang w:val="pl-PL"/>
        </w:rPr>
      </w:pPr>
      <w:r>
        <w:rPr>
          <w:rStyle w:val="FootnoteReference"/>
        </w:rPr>
        <w:footnoteRef/>
      </w:r>
      <w:r>
        <w:rPr>
          <w:lang w:val="pl-PL"/>
        </w:rPr>
        <w:tab/>
        <w:t>OJ L 347, 28.12.2017, p. 81.</w:t>
      </w:r>
    </w:p>
  </w:footnote>
  <w:footnote w:id="12">
    <w:p>
      <w:pPr>
        <w:pStyle w:val="FootnoteText"/>
        <w:rPr>
          <w:lang w:val="pl-PL"/>
        </w:rPr>
      </w:pPr>
      <w:r>
        <w:rPr>
          <w:rStyle w:val="FootnoteReference"/>
        </w:rPr>
        <w:footnoteRef/>
      </w:r>
      <w:r>
        <w:rPr>
          <w:lang w:val="pl-PL"/>
        </w:rPr>
        <w:tab/>
        <w:t>OJ L 97, 1.4.2004, p. 1.</w:t>
      </w:r>
    </w:p>
  </w:footnote>
  <w:footnote w:id="13">
    <w:p>
      <w:pPr>
        <w:pStyle w:val="FootnoteText"/>
        <w:rPr>
          <w:lang w:val="pl-PL"/>
        </w:rPr>
      </w:pPr>
      <w:r>
        <w:rPr>
          <w:rStyle w:val="FootnoteReference"/>
        </w:rPr>
        <w:footnoteRef/>
      </w:r>
      <w:r>
        <w:rPr>
          <w:lang w:val="pl-PL"/>
        </w:rPr>
        <w:tab/>
        <w:t>OJ L 97, 1.4.2004, p. 16.</w:t>
      </w:r>
    </w:p>
  </w:footnote>
  <w:footnote w:id="14">
    <w:p>
      <w:pPr>
        <w:pStyle w:val="FootnoteText"/>
        <w:rPr>
          <w:lang w:val="pl-PL"/>
        </w:rPr>
      </w:pPr>
      <w:r>
        <w:rPr>
          <w:rStyle w:val="FootnoteReference"/>
        </w:rPr>
        <w:footnoteRef/>
      </w:r>
      <w:r>
        <w:rPr>
          <w:lang w:val="pl-PL"/>
        </w:rPr>
        <w:tab/>
        <w:t>OJ L 145, 31.5.2001, p. 1.</w:t>
      </w:r>
    </w:p>
  </w:footnote>
  <w:footnote w:id="15">
    <w:p>
      <w:pPr>
        <w:pStyle w:val="FootnoteText"/>
      </w:pPr>
      <w:r>
        <w:rPr>
          <w:rStyle w:val="FootnoteReference"/>
        </w:rPr>
        <w:footnoteRef/>
      </w:r>
      <w:r>
        <w:tab/>
        <w:t>Council Decision of 4 September 1981 on the conclusion of the Convention on the conservation of Antarctic marine living resources (OJ L 252, 5.9.1981, p. 26).</w:t>
      </w:r>
    </w:p>
  </w:footnote>
  <w:footnote w:id="16">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7">
    <w:p>
      <w:pPr>
        <w:pStyle w:val="FootnoteText"/>
      </w:pPr>
      <w:r>
        <w:rPr>
          <w:rStyle w:val="FootnoteReference"/>
        </w:rPr>
        <w:footnoteRef/>
      </w:r>
      <w:r>
        <w:tab/>
        <w:t>JOIN(2016) 49 final of 10.11.2016.</w:t>
      </w:r>
    </w:p>
  </w:footnote>
  <w:footnote w:id="18">
    <w:p>
      <w:pPr>
        <w:pStyle w:val="FootnoteText"/>
      </w:pPr>
      <w:r>
        <w:rPr>
          <w:rStyle w:val="FootnoteReference"/>
        </w:rPr>
        <w:footnoteRef/>
      </w:r>
      <w:r>
        <w:tab/>
        <w:t>7348/1/17 REV 1 of 24.3.2017.</w:t>
      </w:r>
    </w:p>
  </w:footnote>
  <w:footnote w:id="19">
    <w:p>
      <w:pPr>
        <w:pStyle w:val="FootnoteText"/>
      </w:pPr>
      <w:r>
        <w:rPr>
          <w:rStyle w:val="FootnoteReference"/>
        </w:rPr>
        <w:footnoteRef/>
      </w:r>
      <w:r>
        <w:tab/>
        <w:t>COM(2018) 28 final, 16.1.2018.</w:t>
      </w:r>
    </w:p>
  </w:footnote>
  <w:footnote w:id="20">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21">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22">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23">
    <w:p>
      <w:pPr>
        <w:pStyle w:val="FootnoteText"/>
      </w:pPr>
      <w:r>
        <w:rPr>
          <w:rStyle w:val="FootnoteReference"/>
        </w:rPr>
        <w:footnoteRef/>
      </w:r>
      <w:r>
        <w:tab/>
        <w:t>Council Regulation 600/2004 laying down certain technical measures applicable to fishing activities in the area covered by the Convention on the conservation of Antarctic marine living resources (OJ L 97, 1.4.2004, p. 1).</w:t>
      </w:r>
    </w:p>
  </w:footnote>
  <w:footnote w:id="24">
    <w:p>
      <w:pPr>
        <w:pStyle w:val="FootnoteText"/>
      </w:pPr>
      <w:r>
        <w:rPr>
          <w:rStyle w:val="FootnoteReference"/>
        </w:rPr>
        <w:footnoteRef/>
      </w:r>
      <w:r>
        <w:tab/>
        <w:t>Council Regulation 601/2004 laying down certain control measures applicable to fishing activities in the area covered by the Convention on the conservation of Antarctic marine living resources (OJ L 97, 1.4.2004, p. 16).</w:t>
      </w:r>
    </w:p>
  </w:footnote>
  <w:footnote w:id="25">
    <w:p>
      <w:pPr>
        <w:pStyle w:val="FootnoteText"/>
      </w:pPr>
      <w:r>
        <w:rPr>
          <w:rStyle w:val="FootnoteReference"/>
        </w:rPr>
        <w:footnoteRef/>
      </w:r>
      <w:r>
        <w:tab/>
        <w:t xml:space="preserve">Council Regulation (EC) No 1035/2001 of 22 May 2001 establishing a catch documentation scheme for </w:t>
      </w:r>
      <w:r>
        <w:rPr>
          <w:i/>
        </w:rPr>
        <w:t>Dissostichus spp</w:t>
      </w:r>
      <w:r>
        <w:t xml:space="preserve"> (OJ L 145, 31.5.2001 p. 1).</w:t>
      </w:r>
    </w:p>
  </w:footnote>
  <w:footnote w:id="26">
    <w:p>
      <w:pPr>
        <w:pStyle w:val="FootnoteText"/>
      </w:pPr>
      <w:r>
        <w:rPr>
          <w:rStyle w:val="FootnoteReference"/>
        </w:rPr>
        <w:footnoteRef/>
      </w:r>
      <w:r>
        <w:tab/>
        <w:t>Council Decision of 25 June 2014 on the position to be adopted, on behalf of the European Union, in the Commission for the Conservation of Antarctic Marine Living Resources (CCAMLR).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3:28: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488011-91B8-44D7-9E0F-2A7518838956"/>
    <w:docVar w:name="LW_COVERPAGE_TYPE" w:val="1"/>
    <w:docVar w:name="LW_CROSSREFERENCE" w:val="&lt;UNUSED&gt;"/>
    <w:docVar w:name="LW_DocType" w:val="COM"/>
    <w:docVar w:name="LW_EMISSION" w:val="8.3.2019"/>
    <w:docVar w:name="LW_EMISSION_ISODATE" w:val="2019-03-08"/>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9"/>
    <w:docVar w:name="LW_REF.II.NEW.CP_YEAR" w:val="2019"/>
    <w:docVar w:name="LW_REF.INST.NEW" w:val="COM"/>
    <w:docVar w:name="LW_REF.INST.NEW_ADOPTED" w:val="final"/>
    <w:docVar w:name="LW_REF.INST.NEW_TEXT" w:val="(2019)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Commission for the Conservation of Antarctic Marine Living Resources and repealing Decision 10840/14"/>
    <w:docVar w:name="LW_TYPE.DOC.CP" w:val="COUNCIL DECISION"/>
    <w:docVar w:name="Stamp" w:val="\\dossiers.dgt.cec.eu.int\dossiers\MARE\MARE-2018-00541\MARE-2018-00541-00-01-EN-EDT-00.2018120616422821730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E41A-AF0A-4DB7-852E-73AA8504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2036</Words>
  <Characters>11000</Characters>
  <Application>Microsoft Office Word</Application>
  <DocSecurity>0</DocSecurity>
  <Lines>196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2019-01-15T15:38:00Z</cp:lastPrinted>
  <dcterms:created xsi:type="dcterms:W3CDTF">2019-02-21T17:49:00Z</dcterms:created>
  <dcterms:modified xsi:type="dcterms:W3CDTF">2019-03-07T12:28:00Z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