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E4E6834-7490-4F66-B9F3-F6424B467B24"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pStyle w:val="Header"/>
        <w:jc w:val="left"/>
        <w:rPr>
          <w:b/>
          <w:noProof/>
        </w:rPr>
      </w:pPr>
      <w:r>
        <w:rPr>
          <w:noProof/>
        </w:rPr>
        <w:t>Позиция, която трябва да се заеме от името на Съюза в рамките на Международната комисия за опазване на рибата тон в Атлантическия океан (ICCAT)</w:t>
      </w:r>
    </w:p>
    <w:p>
      <w:pPr>
        <w:pStyle w:val="Heading1"/>
        <w:numPr>
          <w:ilvl w:val="0"/>
          <w:numId w:val="5"/>
        </w:numPr>
        <w:rPr>
          <w:noProof/>
        </w:rPr>
      </w:pPr>
      <w:r>
        <w:rPr>
          <w:noProof/>
        </w:rPr>
        <w:t>ПРИНЦИПИ</w:t>
      </w:r>
    </w:p>
    <w:p>
      <w:pPr>
        <w:rPr>
          <w:noProof/>
        </w:rPr>
      </w:pPr>
      <w:r>
        <w:rPr>
          <w:noProof/>
        </w:rPr>
        <w:t>В рамките на ICCAT Съюзът:</w:t>
      </w:r>
    </w:p>
    <w:p>
      <w:pPr>
        <w:pStyle w:val="Point0"/>
        <w:rPr>
          <w:noProof/>
        </w:rPr>
      </w:pPr>
      <w:r>
        <w:rPr>
          <w:noProof/>
        </w:rPr>
        <w:t xml:space="preserve">а) </w:t>
      </w:r>
      <w:r>
        <w:rPr>
          <w:noProof/>
        </w:rPr>
        <w:tab/>
        <w:t>действа в съответствие с целите и принципите, които си е поставил в рамките на общата политика в областта на рибарството, по-специално чрез подхода на предпазливост и целите, свързани с постигането на максимален устойчив улов, както е посочено в член 2, параграф 2 от Регламент (ЕС) № 1380/2013, така че да се насърчи прилагането на екосистемен подход към управлението на рибарството, да се предотврати и намали, доколкото е възможно, нежеланият улов и постепенно да се премахне изхвърлянето на улов, да се сведе до минимум въздействието на риболовните дейности върху морските екосистеми и техните местообитания, както и да се осигури — посредством насърчаване на икономически жизнеспособен и конкурентоспособен сектор на рибарството в Съюза — справедлив жизнен стандарт за хората, чийто поминък зависи от риболовните дейности, при отчитане на интересите на потребителите;</w:t>
      </w:r>
    </w:p>
    <w:p>
      <w:pPr>
        <w:pStyle w:val="Point0"/>
        <w:rPr>
          <w:noProof/>
        </w:rPr>
      </w:pPr>
      <w:r>
        <w:rPr>
          <w:noProof/>
        </w:rPr>
        <w:t xml:space="preserve">б) </w:t>
      </w:r>
      <w:r>
        <w:rPr>
          <w:noProof/>
        </w:rPr>
        <w:tab/>
        <w:t>се стреми да осигури подходящо участие на заинтересованите страни в подготвителния етап на мерките на ICCAT и да гарантира, че мерките, приети в рамките на ICCAT, са в съответствие с Конвенцията ICCAT;</w:t>
      </w:r>
    </w:p>
    <w:p>
      <w:pPr>
        <w:pStyle w:val="Point0"/>
        <w:rPr>
          <w:noProof/>
        </w:rPr>
      </w:pPr>
      <w:r>
        <w:rPr>
          <w:noProof/>
        </w:rPr>
        <w:t xml:space="preserve">в) </w:t>
      </w:r>
      <w:r>
        <w:rPr>
          <w:noProof/>
        </w:rPr>
        <w:tab/>
        <w:t>гарантира, че мерките, приети в рамките на ICCAT, са в съответствие с международното право, и по-специално с разпоредбите на Конвенцията на ООН от 1982 г. по морско право, Споразумението на ООН от 1995 г., отнасящо се до опазването и управлението на трансгранично преминаващите и далекомигриращите рибни запаси, Споразумението от 1993 г. за насърчаване на спазването на международните мерки за опазване и управление от риболовните кораби в открито море и Споразумението на Организацията за прехрана и земеделие от 2009 г. за мерките на пристанищната държава;</w:t>
      </w:r>
    </w:p>
    <w:p>
      <w:pPr>
        <w:pStyle w:val="Point0"/>
        <w:rPr>
          <w:noProof/>
        </w:rPr>
      </w:pPr>
      <w:r>
        <w:rPr>
          <w:noProof/>
        </w:rPr>
        <w:t xml:space="preserve">г) </w:t>
      </w:r>
      <w:r>
        <w:rPr>
          <w:noProof/>
        </w:rPr>
        <w:tab/>
        <w:t>насърчава позициите, съответстващи на най-добрите практики на регионалните организации за управление на рибарството (РОУР) в съответната зона;</w:t>
      </w:r>
    </w:p>
    <w:p>
      <w:pPr>
        <w:pStyle w:val="Point0"/>
        <w:rPr>
          <w:noProof/>
          <w:szCs w:val="24"/>
        </w:rPr>
      </w:pPr>
      <w:r>
        <w:rPr>
          <w:noProof/>
        </w:rPr>
        <w:t xml:space="preserve">д) </w:t>
      </w:r>
      <w:r>
        <w:rPr>
          <w:noProof/>
        </w:rPr>
        <w:tab/>
        <w:t>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 по-специално в областта на външните отношения, заетостта, околната среда, търговията, развитието, научните изследвания и иновациите;</w:t>
      </w:r>
    </w:p>
    <w:p>
      <w:pPr>
        <w:pStyle w:val="Point0"/>
        <w:rPr>
          <w:noProof/>
          <w:szCs w:val="24"/>
        </w:rPr>
      </w:pPr>
      <w:r>
        <w:rPr>
          <w:noProof/>
        </w:rPr>
        <w:t>е)</w:t>
      </w:r>
      <w:r>
        <w:rPr>
          <w:noProof/>
        </w:rPr>
        <w:tab/>
        <w:t>гарантира спазването на своите международни ангажименти;</w:t>
      </w:r>
    </w:p>
    <w:p>
      <w:pPr>
        <w:pStyle w:val="Point0"/>
        <w:rPr>
          <w:noProof/>
          <w:szCs w:val="24"/>
        </w:rPr>
      </w:pPr>
      <w:r>
        <w:rPr>
          <w:noProof/>
        </w:rPr>
        <w:t xml:space="preserve">ж) </w:t>
      </w:r>
      <w:r>
        <w:rPr>
          <w:noProof/>
        </w:rPr>
        <w:tab/>
        <w:t>се придържа към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1"/>
      </w:r>
      <w:r>
        <w:rPr>
          <w:noProof/>
        </w:rPr>
        <w:t>;</w:t>
      </w:r>
    </w:p>
    <w:p>
      <w:pPr>
        <w:pStyle w:val="Point0"/>
        <w:rPr>
          <w:noProof/>
          <w:szCs w:val="24"/>
        </w:rPr>
      </w:pPr>
      <w:r>
        <w:rPr>
          <w:noProof/>
        </w:rPr>
        <w:t xml:space="preserve">з) </w:t>
      </w:r>
      <w:r>
        <w:rPr>
          <w:noProof/>
        </w:rPr>
        <w:tab/>
        <w:t>се стреми да създава равноправни условия за флота на Съюза в зоната на конвенцията въз основа на същите принципи и стандарти като тези, приложими съгласно правото на Съюза, и да насърчава еднаквото прилагане на тези принципи и стандарти;</w:t>
      </w:r>
    </w:p>
    <w:p>
      <w:pPr>
        <w:pStyle w:val="Point0"/>
        <w:rPr>
          <w:noProof/>
          <w:szCs w:val="24"/>
        </w:rPr>
      </w:pPr>
      <w:r>
        <w:rPr>
          <w:noProof/>
        </w:rPr>
        <w:lastRenderedPageBreak/>
        <w:t xml:space="preserve">и) </w:t>
      </w:r>
      <w:r>
        <w:rPr>
          <w:noProof/>
        </w:rPr>
        <w:tab/>
        <w:t>се придържа към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2"/>
      </w:r>
      <w:r>
        <w:rPr>
          <w:noProof/>
        </w:rPr>
        <w:t>, и към заключенията на Съвета във връзка с това съвместно съобщение</w:t>
      </w:r>
      <w:r>
        <w:rPr>
          <w:rStyle w:val="FootnoteReference"/>
          <w:noProof/>
        </w:rPr>
        <w:footnoteReference w:id="3"/>
      </w:r>
      <w:r>
        <w:rPr>
          <w:noProof/>
        </w:rPr>
        <w:t>, и насърчава мерките за подпомагане и повишаване на ефективността на ICCAT и, когато е уместно, за подобряване на нейното управление и постиганите от нея резултати (по-специално по отношение на науката, спазването на приложимите разпоредби, прозрачността и вземането на решения);</w:t>
      </w:r>
    </w:p>
    <w:p>
      <w:pPr>
        <w:pStyle w:val="Point0"/>
        <w:rPr>
          <w:noProof/>
          <w:szCs w:val="24"/>
        </w:rPr>
      </w:pPr>
      <w:r>
        <w:rPr>
          <w:noProof/>
        </w:rPr>
        <w:t xml:space="preserve">й) </w:t>
      </w:r>
      <w:r>
        <w:rPr>
          <w:noProof/>
        </w:rPr>
        <w:tab/>
        <w:t>насърчава по-добрата координация между РОУР и регионалните морски конвенции, както и — според случая — сътрудничеството със световни организации в рамките на техните мандати, и по-специално с Конвенцията OSPAR, HELCOM и Конвенцията от Барселона, по които Съюзът също е договаряща страна;</w:t>
      </w:r>
    </w:p>
    <w:p>
      <w:pPr>
        <w:pStyle w:val="Point0"/>
        <w:rPr>
          <w:noProof/>
          <w:szCs w:val="24"/>
        </w:rPr>
      </w:pPr>
      <w:r>
        <w:rPr>
          <w:noProof/>
        </w:rPr>
        <w:t>к)</w:t>
      </w:r>
      <w:r>
        <w:rPr>
          <w:noProof/>
        </w:rPr>
        <w:tab/>
        <w:t>насърчава координацията и сътрудничеството с други РОУР, отговарящи за улова на риба тон, по въпроси от общ интерес — по-специално чрез възобновяването на т.нар. „процес от Кобе“ по отношение на РОУР за рибата тон и разширяването му, така че да обхване всички РОУР.</w:t>
      </w:r>
    </w:p>
    <w:p>
      <w:pPr>
        <w:pStyle w:val="Heading1"/>
        <w:rPr>
          <w:noProof/>
        </w:rPr>
      </w:pPr>
      <w:r>
        <w:rPr>
          <w:noProof/>
        </w:rPr>
        <w:t>НАСОКИ</w:t>
      </w:r>
    </w:p>
    <w:p>
      <w:pPr>
        <w:autoSpaceDE w:val="0"/>
        <w:autoSpaceDN w:val="0"/>
        <w:adjustRightInd w:val="0"/>
        <w:spacing w:before="0" w:after="0"/>
        <w:rPr>
          <w:noProof/>
        </w:rPr>
      </w:pPr>
      <w:r>
        <w:rPr>
          <w:noProof/>
        </w:rPr>
        <w:t>При необходимост Съюзът се стреми да подкрепя предприемането на следните действия от страна на ICCAT:</w:t>
      </w:r>
    </w:p>
    <w:p>
      <w:pPr>
        <w:pStyle w:val="Point0"/>
        <w:rPr>
          <w:noProof/>
        </w:rPr>
      </w:pPr>
      <w:r>
        <w:rPr>
          <w:noProof/>
        </w:rPr>
        <w:t xml:space="preserve">а) </w:t>
      </w:r>
      <w:r>
        <w:rPr>
          <w:noProof/>
        </w:rPr>
        <w:tab/>
        <w:t>мерки за опазване и управление на рибните ресурси в зоната на Конвенцията ICCAT въз основа на най-добрите налични научни становища, включително общ допустим улов и квоти или регулиране на усилието по отношение на живите морски биологични ресурси, регулирани от ICCAT, които мерки ще доведат до постигането или до запазването на устойчива експлоатация на нивата, на които се получава максималният устойчив улов до 2015 г., когато е възможно, и чрез постепенно и постъпателно нарастване най-късно до 2020 г. При необходимост тези мерки за опазване и управление трябва да включват специални мерки за запасите, които са подложени на прекомерен улов, за да се гарантира, че риболовното усилие отговаря на наличните възможности за риболов;</w:t>
      </w:r>
    </w:p>
    <w:p>
      <w:pPr>
        <w:pStyle w:val="Point0"/>
        <w:rPr>
          <w:noProof/>
        </w:rPr>
      </w:pPr>
      <w:r>
        <w:rPr>
          <w:noProof/>
        </w:rPr>
        <w:t xml:space="preserve">б) </w:t>
      </w:r>
      <w:r>
        <w:rPr>
          <w:noProof/>
        </w:rPr>
        <w:tab/>
        <w:t>мерки за предотвратяване, възпиране и премахване на незаконния, недеклариран и нерегулиран риболов в зоната на конвенцията, включително списък на корабите, извършващи такъв риболов;</w:t>
      </w:r>
    </w:p>
    <w:p>
      <w:pPr>
        <w:pStyle w:val="Point0"/>
        <w:rPr>
          <w:noProof/>
        </w:rPr>
      </w:pPr>
      <w:r>
        <w:rPr>
          <w:noProof/>
        </w:rPr>
        <w:t xml:space="preserve">в) </w:t>
      </w:r>
      <w:r>
        <w:rPr>
          <w:noProof/>
        </w:rPr>
        <w:tab/>
        <w:t>мерки за наблюдение, контрол и надзор в зоната на конвенцията с цел да се осигури ефективност на контрола и спазване на мерките, приети в рамките на ICCAT;</w:t>
      </w:r>
    </w:p>
    <w:p>
      <w:pPr>
        <w:pStyle w:val="Point0"/>
        <w:rPr>
          <w:noProof/>
        </w:rPr>
      </w:pPr>
      <w:r>
        <w:rPr>
          <w:noProof/>
        </w:rPr>
        <w:t xml:space="preserve">г) </w:t>
      </w:r>
      <w:r>
        <w:rPr>
          <w:noProof/>
        </w:rPr>
        <w:tab/>
        <w:t xml:space="preserve">мерки за максимално ограничаване на отрицателното въздействие на риболовните дейности и аквакултурите върху морското биологично разнообразие и морските екосистеми и техните местообитания, включително мерки за намаляване на замърсяването на морската среда и предотвратяване на изхвърлянето на пластмаси в морето, както и за намаляване на въздействието на намиращите се в морето пластмаси върху морското биологично </w:t>
      </w:r>
      <w:r>
        <w:rPr>
          <w:noProof/>
        </w:rPr>
        <w:lastRenderedPageBreak/>
        <w:t>разнообразие и екосистемите, мерки за защита на уязвимите морски екосистеми в зоната на Конвенцията ICCAT в съответствие с резолюциите на Общото събрание на ООН и мерки за избягване и намаляване, доколкото е възможно, на нежелания улов, включително и по-специално на уязвимите морски видове, и мерки за постепенно премахване на изхвърлянето на улов;</w:t>
      </w:r>
    </w:p>
    <w:p>
      <w:pPr>
        <w:pStyle w:val="Point0"/>
        <w:rPr>
          <w:noProof/>
        </w:rPr>
      </w:pPr>
      <w:r>
        <w:rPr>
          <w:noProof/>
        </w:rPr>
        <w:t>д)</w:t>
      </w:r>
      <w:r>
        <w:rPr>
          <w:noProof/>
        </w:rPr>
        <w:tab/>
        <w:t>мерки за управление на използването на устройства за привличане на рибата — по-специално за подобряване на събирането на данни, за точното количествено определяне, проследяване и наблюдение на използването на такива устройства, за намаляване на въздействието върху уязвимите запаси от риба тон, за смекчаване на потенциалното им въздействие върху целевите и нецелевите видове и върху екосистемите, и за намаляване на приноса към морските отпадъци;</w:t>
      </w:r>
    </w:p>
    <w:p>
      <w:pPr>
        <w:pStyle w:val="Point0"/>
        <w:rPr>
          <w:noProof/>
        </w:rPr>
      </w:pPr>
      <w:r>
        <w:rPr>
          <w:noProof/>
        </w:rPr>
        <w:t>е)</w:t>
      </w:r>
      <w:r>
        <w:rPr>
          <w:noProof/>
        </w:rPr>
        <w:tab/>
        <w:t>мерки за намаляване на въздействието на изоставените, изгубени или изхвърлени по друг начин риболовни уреди в океаните и за улесняване на идентифицирането и прибирането на тези уреди;</w:t>
      </w:r>
    </w:p>
    <w:p>
      <w:pPr>
        <w:pStyle w:val="Point0"/>
        <w:rPr>
          <w:noProof/>
        </w:rPr>
      </w:pPr>
      <w:r>
        <w:rPr>
          <w:noProof/>
        </w:rPr>
        <w:t xml:space="preserve">ж) </w:t>
      </w:r>
      <w:r>
        <w:rPr>
          <w:noProof/>
        </w:rPr>
        <w:tab/>
        <w:t>мерки, с които се забранява риболовът, извършван единствено с цел добиване на перки от акули, и с които се изисква всички акули да бъдат разтоварвани с всичките си естествено прикрепени към трупа перки;</w:t>
      </w:r>
    </w:p>
    <w:p>
      <w:pPr>
        <w:pStyle w:val="Point0"/>
        <w:rPr>
          <w:noProof/>
        </w:rPr>
      </w:pPr>
      <w:r>
        <w:rPr>
          <w:noProof/>
        </w:rPr>
        <w:t>з)</w:t>
      </w:r>
      <w:r>
        <w:rPr>
          <w:noProof/>
        </w:rPr>
        <w:tab/>
        <w:t>препоръки — когато е целесъобразно и дотолкова, доколкото е разрешено по силата на съответните учредителни документи — които насърчават прилагането на Конвенцията относно условията на труд в сектора на риболова на Международната организация на труда;</w:t>
      </w:r>
    </w:p>
    <w:p>
      <w:pPr>
        <w:pStyle w:val="Point0"/>
        <w:rPr>
          <w:noProof/>
        </w:rPr>
      </w:pPr>
      <w:r>
        <w:rPr>
          <w:noProof/>
        </w:rPr>
        <w:t xml:space="preserve">и) </w:t>
      </w:r>
      <w:r>
        <w:rPr>
          <w:noProof/>
        </w:rPr>
        <w:tab/>
        <w:t xml:space="preserve">допълнителни технически мерки, основани на становища на спомагателните органи и работните групи на ICCAT. </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lastRenderedPageBreak/>
        <w:t>ПРИЛОЖЕНИЕ II</w:t>
      </w:r>
    </w:p>
    <w:p>
      <w:pPr>
        <w:jc w:val="center"/>
        <w:rPr>
          <w:rFonts w:eastAsia="Calibri"/>
          <w:b/>
          <w:noProof/>
          <w:szCs w:val="20"/>
          <w:u w:val="single"/>
        </w:rPr>
      </w:pPr>
      <w:r>
        <w:rPr>
          <w:b/>
          <w:noProof/>
          <w:u w:val="single"/>
        </w:rPr>
        <w:t>Ежегодно уточняване на позицията на Съюза, която трябва да се заеме</w:t>
      </w:r>
    </w:p>
    <w:p>
      <w:pPr>
        <w:jc w:val="center"/>
        <w:rPr>
          <w:rFonts w:eastAsia="Calibri"/>
          <w:b/>
          <w:noProof/>
          <w:szCs w:val="20"/>
          <w:u w:val="single"/>
        </w:rPr>
      </w:pPr>
      <w:r>
        <w:rPr>
          <w:b/>
          <w:noProof/>
          <w:u w:val="single"/>
        </w:rPr>
        <w:t xml:space="preserve">на заседанията на Mеждународната комисия за опазване на рибата тон в Атлантическия океан </w:t>
      </w:r>
    </w:p>
    <w:p>
      <w:pPr>
        <w:jc w:val="center"/>
        <w:rPr>
          <w:rFonts w:eastAsia="Calibri"/>
          <w:b/>
          <w:i/>
          <w:strike/>
          <w:noProof/>
          <w:szCs w:val="20"/>
          <w:u w:val="single"/>
        </w:rPr>
      </w:pPr>
    </w:p>
    <w:p>
      <w:pPr>
        <w:rPr>
          <w:rFonts w:eastAsia="Calibri"/>
          <w:noProof/>
          <w:szCs w:val="20"/>
        </w:rPr>
      </w:pPr>
      <w:r>
        <w:rPr>
          <w:noProof/>
        </w:rPr>
        <w:t>Преди всяко заседание на ICCAT, когато този орган има за задача да приема решения, които могат да станат обвързващи за Съюза, трябва да бъдат предприети необходимите действия, така че в позицията, която ще бъде изразена от името на Съюза, да бъде взета под внимание най-актуалната научна и друга важна информация, предадена на Европейската комисия, в съответствие с принципите и насоките, определени в приложение I.</w:t>
      </w:r>
    </w:p>
    <w:p>
      <w:pPr>
        <w:rPr>
          <w:rFonts w:eastAsia="Calibri"/>
          <w:noProof/>
          <w:szCs w:val="20"/>
        </w:rPr>
      </w:pPr>
      <w:r>
        <w:rPr>
          <w:noProof/>
        </w:rPr>
        <w:t>За тази цел и въз основа на посочената информация Европейската комисия представя на Съвета или на подготвителните му органи достатъчно рано преди всяко заседание на ICCAT писмен документ, съдържащ елементите във връзка с предложеното уточняване на позицията, която трябва да бъде изразена от името на Съюза, за обсъждане и одобряване на детайлите по нея.</w:t>
      </w:r>
    </w:p>
    <w:p>
      <w:pPr>
        <w:rPr>
          <w:rFonts w:eastAsia="Calibri"/>
          <w:noProof/>
          <w:szCs w:val="20"/>
        </w:rPr>
      </w:pPr>
      <w:r>
        <w:rPr>
          <w:noProof/>
        </w:rPr>
        <w:t>Ако по време на заседание на ICCAT не е възможно да се постигне споразумение — включително на място — позволяващо отразяването на нови елементи в позицията на Съюза, въпросът трябва да бъде отнесен до Съвета или до подготвителните му органи.</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10.11.2016 г.</w:t>
      </w:r>
    </w:p>
  </w:footnote>
  <w:footnote w:id="3">
    <w:p>
      <w:pPr>
        <w:pStyle w:val="FootnoteText"/>
        <w:rPr>
          <w:lang w:val="en-US"/>
        </w:rPr>
      </w:pPr>
      <w:r>
        <w:rPr>
          <w:rStyle w:val="FootnoteReference"/>
        </w:rPr>
        <w:footnoteRef/>
      </w:r>
      <w:r>
        <w:tab/>
        <w:t>7348/1/17 REV 1, 24.3.2017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8A65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1271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AAC2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E6E8E8"/>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7 16:01: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4E4E6834-7490-4F66-B9F3-F6424B467B24"/>
    <w:docVar w:name="LW_COVERPAGE_TYPE" w:val="1"/>
    <w:docVar w:name="LW_CROSSREFERENCE" w:val="&lt;UNUSED&gt;"/>
    <w:docVar w:name="LW_DocType" w:val="ANNEX"/>
    <w:docVar w:name="LW_EMISSION" w:val="8.3.2019"/>
    <w:docVar w:name="LW_EMISSION_ISODATE" w:val="2019-03-08"/>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2?\u1086?\u1084?\u1080?\u1089?\u1080?\u1103? \u1079?\u1072? \u1086?\u1087?\u1072?\u1079?\u1074?\u1072?\u1085?\u1077? \u1085?\u1072? \u1088?\u1080?\u1073?\u1072?\u1090?\u1072? \u1090?\u1086?\u1085? \u1074? \u1040?\u1090?\u1083?\u1072?\u1085?\u1090?\u1080?\u1095?\u1077?\u1089?\u1082?\u1080?\u1103? \u1086?\u1082?\u1077?\u1072?\u1085?, \u1080? \u1079?\u1072? \u1086?\u1090?\u1084?\u1103?\u1085?\u1072? \u1085?\u1072? \u1056?\u1077?\u1096?\u1077?\u1085?\u1080?\u1077? 10974/1/14 REV 1"/>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2?\u1086?\u1084?\u1080?\u1089?\u1080?\u1103? \u1079?\u1072? \u1086?\u1087?\u1072?\u1079?\u1074?\u1072?\u1085?\u1077? \u1085?\u1072? \u1088?\u1080?\u1073?\u1072?\u1090?\u1072? \u1090?\u1086?\u1085? \u1074? \u1040?\u1090?\u1083?\u1072?\u1085?\u1090?\u1080?\u1095?\u1077?\u1089?\u1082?\u1080?\u1103? \u1086?\u1082?\u1077?\u1072?\u1085?, \u1080? \u1079?\u1072? \u1086?\u1090?\u1084?\u1103?\u1085?\u1072? \u1085?\u1072? \u1056?\u1077?\u1096?\u1077?\u1085?\u1080?\u1077? 10974/1/14 REV 1"/>
    <w:docVar w:name="LW_PART_NBR" w:val="&lt;UNUSED&gt;"/>
    <w:docVar w:name="LW_PART_NBR_TOTAL" w:val="&lt;UNUSED&gt;"/>
    <w:docVar w:name="LW_REF.INST.NEW" w:val="COM"/>
    <w:docVar w:name="LW_REF.INST.NEW_ADOPTED" w:val="final"/>
    <w:docVar w:name="LW_REF.INST.NEW_TEXT" w:val="(2019)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2960D45-60B5-499A-B12B-B3A3E43A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1241</Words>
  <Characters>7113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2019-02-28T09:34:00Z</dcterms:created>
  <dcterms:modified xsi:type="dcterms:W3CDTF">2019-03-07T15:01:00Z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ies>
</file>