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E2127C2D-DA27-4A1A-9DDF-0DE48DA8B208" style="width:450.5pt;height:366.1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rFonts w:eastAsia="Arial Unicode MS"/>
          <w:noProof/>
        </w:rPr>
      </w:pPr>
      <w:r>
        <w:t>1.</w:t>
      </w:r>
      <w:r>
        <w:tab/>
      </w:r>
      <w:r>
        <w:rPr>
          <w:noProof/>
        </w:rPr>
        <w:t>Предмет на предложението</w:t>
      </w:r>
    </w:p>
    <w:p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noProof/>
          <w:szCs w:val="24"/>
        </w:rPr>
      </w:pPr>
      <w:r>
        <w:rPr>
          <w:noProof/>
        </w:rPr>
        <w:t>Настоящото предложение се отнася до решение за установяване на позицията, която трябва да се заеме от името на Съюза на заседанията на Международната конвенция за опазване на рибата тон в Атлантическия океан (ICCAT) за периода 2019—2023 г. във връзка с предвиденото приемане на мерки за опазване и управление.</w:t>
      </w:r>
    </w:p>
    <w:p>
      <w:pPr>
        <w:pStyle w:val="ManualHeading1"/>
        <w:rPr>
          <w:noProof/>
        </w:rPr>
      </w:pPr>
      <w:r>
        <w:t>2.</w:t>
      </w:r>
      <w:r>
        <w:tab/>
      </w:r>
      <w:r>
        <w:rPr>
          <w:noProof/>
        </w:rPr>
        <w:t>Контекст на предложението</w:t>
      </w:r>
    </w:p>
    <w:p>
      <w:pPr>
        <w:pStyle w:val="ManualHeading2"/>
        <w:rPr>
          <w:noProof/>
        </w:rPr>
      </w:pPr>
      <w:r>
        <w:t>2.1.</w:t>
      </w:r>
      <w:r>
        <w:tab/>
      </w:r>
      <w:r>
        <w:rPr>
          <w:noProof/>
        </w:rPr>
        <w:t>Международна конвенция за опазване на рибата тон в Атлантическия океан</w:t>
      </w:r>
    </w:p>
    <w:p>
      <w:pPr>
        <w:rPr>
          <w:noProof/>
        </w:rPr>
      </w:pPr>
      <w:r>
        <w:rPr>
          <w:noProof/>
        </w:rPr>
        <w:t>Целта на Международната конвенция за опазване на рибата тон в Атлантическия океан (Конвенцията ICCAT) е с учредяването на ICCAT да се насърчи сътрудничеството, насочено към поддържане на популациите на риба тон и тоноподобни видове в Атлантическия океан на нива, позволяващи максимален устойчив улов за продоволствени и други цели. Конвенцията влезе в сила на 21 март 1969 г.</w:t>
      </w:r>
    </w:p>
    <w:p>
      <w:pPr>
        <w:rPr>
          <w:noProof/>
        </w:rPr>
      </w:pPr>
      <w:r>
        <w:rPr>
          <w:noProof/>
        </w:rPr>
        <w:t>След одобряването на Конвенцията ICCAT по силата на съответното решение на Съвета от 9 юни 1986 г.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Съюзът стана страна по ICCAT.</w:t>
      </w:r>
    </w:p>
    <w:p>
      <w:pPr>
        <w:pStyle w:val="ManualHeading2"/>
        <w:rPr>
          <w:noProof/>
        </w:rPr>
      </w:pPr>
      <w:r>
        <w:t>2.2.</w:t>
      </w:r>
      <w:r>
        <w:tab/>
      </w:r>
      <w:r>
        <w:rPr>
          <w:noProof/>
        </w:rPr>
        <w:t>Международна комисия за опазване на рибата тон в Атлантическия океан</w:t>
      </w:r>
    </w:p>
    <w:p>
      <w:pPr>
        <w:rPr>
          <w:noProof/>
        </w:rPr>
      </w:pPr>
      <w:r>
        <w:rPr>
          <w:noProof/>
        </w:rPr>
        <w:t>ICCAT е органът, учреден с Конвенцията ICCAT, който приема обвързващи решения („препоръки“) за опазването и управлението на рибарството в своята област на компетентност. Мерките могат да придобият обвързващ характер по отношение на Съюза.</w:t>
      </w:r>
    </w:p>
    <w:p>
      <w:pPr>
        <w:rPr>
          <w:rFonts w:eastAsia="Arial Unicode MS"/>
          <w:noProof/>
        </w:rPr>
      </w:pPr>
      <w:r>
        <w:rPr>
          <w:noProof/>
        </w:rPr>
        <w:t>Като договаряща страна по ICCAT Съюзът има право на участие и право на глас. ICCAT взема решенията си с консенсус.</w:t>
      </w:r>
    </w:p>
    <w:p>
      <w:pPr>
        <w:pStyle w:val="ManualHeading2"/>
        <w:rPr>
          <w:noProof/>
        </w:rPr>
      </w:pPr>
      <w:r>
        <w:t>2.3.</w:t>
      </w:r>
      <w:r>
        <w:tab/>
      </w:r>
      <w:r>
        <w:rPr>
          <w:noProof/>
        </w:rPr>
        <w:t>Решения на ICCAT</w:t>
      </w:r>
    </w:p>
    <w:p>
      <w:pPr>
        <w:rPr>
          <w:rFonts w:eastAsia="Arial Unicode MS"/>
          <w:noProof/>
        </w:rPr>
      </w:pPr>
      <w:r>
        <w:rPr>
          <w:noProof/>
        </w:rPr>
        <w:t>ICCAT има правомощието да приема препоръки във връзка с опазването и управлението на рибарството в своята област на компетентност, като тези мерки са обвързващи за договарящите страни.</w:t>
      </w:r>
    </w:p>
    <w:p>
      <w:pPr>
        <w:rPr>
          <w:noProof/>
        </w:rPr>
      </w:pPr>
      <w:r>
        <w:rPr>
          <w:noProof/>
        </w:rPr>
        <w:t>В съответствие с член VIII, параграф 2 от Конвенцията ICCAT препоръките влизат в сила шест месеца след датата, на която договарящите страни са били уведомени за тях от ICCAT. Ако договаряща страна е подала и потвърдила възражение срещу дадена препоръка, тази препоръка не е обвързваща за съответната страна. В случай че възражението е подкрепено от мнозинството договарящи страни, препоръката не поражда действие.</w:t>
      </w:r>
    </w:p>
    <w:p>
      <w:pPr>
        <w:pStyle w:val="ManualHeading1"/>
        <w:rPr>
          <w:rFonts w:eastAsia="Arial Unicode MS"/>
          <w:noProof/>
        </w:rPr>
      </w:pPr>
      <w:r>
        <w:t>3.</w:t>
      </w:r>
      <w:r>
        <w:tab/>
      </w:r>
      <w:r>
        <w:rPr>
          <w:noProof/>
        </w:rPr>
        <w:t>Позиция, която трябва да се заеме от името на Съюза</w:t>
      </w:r>
    </w:p>
    <w:p>
      <w:pPr>
        <w:rPr>
          <w:rFonts w:eastAsia="Times New Roman"/>
          <w:noProof/>
        </w:rPr>
      </w:pPr>
      <w:r>
        <w:rPr>
          <w:noProof/>
        </w:rPr>
        <w:t xml:space="preserve">Позицията, която трябва да се заеме от името на Съюза на годишните заседания на регионалните организации за управление на рибарството, понастоящем се определя съобразно двустепенен подход. С решение на Съвета се определят ръководните </w:t>
      </w:r>
      <w:r>
        <w:rPr>
          <w:noProof/>
        </w:rPr>
        <w:lastRenderedPageBreak/>
        <w:t>принципи и насоки на позицията на Съюза на многогодишна основа, която позиция впоследствие се коригира за всяко годишно заседание посредством неофициални документи на Комисията, предназначени за обсъждане в работната група на Съвета.</w:t>
      </w:r>
    </w:p>
    <w:p>
      <w:pPr>
        <w:rPr>
          <w:rFonts w:eastAsia="Times New Roman"/>
          <w:noProof/>
        </w:rPr>
      </w:pPr>
      <w:r>
        <w:rPr>
          <w:noProof/>
        </w:rPr>
        <w:t>По отношение на ICCAT този подход се прилага с Решение 10974/1/14 REV 1 на Съвета от 20 юни 2014 г., в което се определя позицията на Съюза в ICCAT за периода 2014—2018 г. В решението се съдържат общите принципи и насоки, като същевременно се вземат предвид, доколкото е възможно, специфичните особености на ICCAT. Наред с това, в съответствие с искането на държавите членки, в него е предвидена стандартната процедура за ежегодното определяне на позицията на Съюза.</w:t>
      </w:r>
    </w:p>
    <w:p>
      <w:pPr>
        <w:rPr>
          <w:rFonts w:eastAsia="Times New Roman"/>
          <w:noProof/>
        </w:rPr>
      </w:pPr>
      <w:r>
        <w:rPr>
          <w:noProof/>
        </w:rPr>
        <w:t>В Решение 10974/1/14 REV 1 се предвижда преразглеждане на позицията на Съюза преди годишното заседание през 2019 г. Следователно в настоящото предложение се определя позицията на Съюза в рамките на ICCAT за периода 2019—2023 г., като то съответно заменя Решение 10974/1/14 REV 1.</w:t>
      </w:r>
    </w:p>
    <w:p>
      <w:pPr>
        <w:rPr>
          <w:rFonts w:eastAsia="Times New Roman"/>
          <w:noProof/>
        </w:rPr>
      </w:pPr>
      <w:r>
        <w:rPr>
          <w:noProof/>
        </w:rPr>
        <w:t>Решение 10974/1/14 REV 1 включва принципите и насоките на новата обща политика в областта на рибарството, определени в Регламент (ЕС) № 1380/2013 на Европейския парламент и на Съвета</w:t>
      </w:r>
      <w:r>
        <w:rPr>
          <w:rStyle w:val="FootnoteReference"/>
          <w:noProof/>
        </w:rPr>
        <w:footnoteReference w:id="2"/>
      </w:r>
      <w:r>
        <w:rPr>
          <w:noProof/>
        </w:rPr>
        <w:t>, като се вземат предвид и целите, формулирани в Съобщението на Комисията относно външното измерение на общата политика в областта на рибарството</w:t>
      </w:r>
      <w:r>
        <w:rPr>
          <w:rStyle w:val="FootnoteReference"/>
          <w:noProof/>
        </w:rPr>
        <w:footnoteReference w:id="3"/>
      </w:r>
      <w:r>
        <w:rPr>
          <w:noProof/>
        </w:rPr>
        <w:t>. Наред с това то привежда позицията на Съюза в съответствие с Договора от Лисабон.</w:t>
      </w:r>
    </w:p>
    <w:p>
      <w:pPr>
        <w:rPr>
          <w:noProof/>
        </w:rPr>
      </w:pPr>
      <w:r>
        <w:rPr>
          <w:noProof/>
        </w:rPr>
        <w:t>В настоящото преразглеждане се вземат предвид — във връзка с въздействието на риболова — съобщението на Комисията до Европейския парламент, Съвета, Европейския икономически и социален комитет и Комитета на регионите, озаглавено „Европейска стратегия за пластмасите в кръговата икономика“</w:t>
      </w:r>
      <w:r>
        <w:rPr>
          <w:rStyle w:val="FootnoteReference"/>
          <w:noProof/>
        </w:rPr>
        <w:footnoteReference w:id="4"/>
      </w:r>
      <w:r>
        <w:rPr>
          <w:noProof/>
        </w:rPr>
        <w:t>, съвместното съобщение на върховния представител на Съюза по въпросите на външните работи и политиката на сигурност и на Европейската комисия на тема „Международно управление на океаните: приносът на ЕС за отговорното управление на океаните“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и заключенията на Съвета във връзка с това съвместно съобщение</w:t>
      </w:r>
      <w:r>
        <w:rPr>
          <w:rStyle w:val="FootnoteReference"/>
          <w:noProof/>
        </w:rPr>
        <w:footnoteReference w:id="6"/>
      </w:r>
      <w:r>
        <w:rPr>
          <w:noProof/>
        </w:rPr>
        <w:t>.</w:t>
      </w:r>
    </w:p>
    <w:p>
      <w:pPr>
        <w:pStyle w:val="ManualHeading1"/>
        <w:rPr>
          <w:noProof/>
        </w:rPr>
      </w:pPr>
      <w:r>
        <w:t>4.</w:t>
      </w:r>
      <w:r>
        <w:tab/>
      </w:r>
      <w:r>
        <w:rPr>
          <w:noProof/>
        </w:rPr>
        <w:t>Правно основание</w:t>
      </w:r>
    </w:p>
    <w:p>
      <w:pPr>
        <w:pStyle w:val="ManualHeading2"/>
        <w:rPr>
          <w:noProof/>
        </w:rPr>
      </w:pPr>
      <w:r>
        <w:t>4.1.</w:t>
      </w:r>
      <w:r>
        <w:tab/>
      </w:r>
      <w:r>
        <w:rPr>
          <w:noProof/>
        </w:rPr>
        <w:t>Процесуалноправно основание</w:t>
      </w:r>
    </w:p>
    <w:p>
      <w:pPr>
        <w:pStyle w:val="ManualHeading3"/>
        <w:rPr>
          <w:noProof/>
        </w:rPr>
      </w:pPr>
      <w:r>
        <w:t>4.1.1.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В член 218, параграф 9 от Договора за функционирането на Европейския съюз (ДФЕС) се предвижда приемането на решения за установяване на „позициите, които трябва да се заемат от името на Съюза в рамките на орган, създаден със споразумение, когато този орган има за задача да приема актове с правно действие, с изключение на актовете за допълнение или изменение на институционалната рамка на споразумението“.</w:t>
      </w:r>
    </w:p>
    <w:p>
      <w:pPr>
        <w:rPr>
          <w:noProof/>
        </w:rPr>
      </w:pPr>
      <w:r>
        <w:rPr>
          <w:noProof/>
        </w:rPr>
        <w:t xml:space="preserve">Понятието „актове с правно действие“ включва актове с правно действие по силата на нормите на международното право, които уреждат дейността на съответния орган, и инструменти, които нямат обвързващ характер съгласно международното право, но са </w:t>
      </w:r>
      <w:r>
        <w:rPr>
          <w:noProof/>
        </w:rPr>
        <w:lastRenderedPageBreak/>
        <w:t>„годни да окажат съществено въздействие върху съдържанието на приеманата от законодателя на Съюза нормативна уредба“</w:t>
      </w:r>
      <w:r>
        <w:rPr>
          <w:rStyle w:val="FootnoteReference"/>
          <w:noProof/>
        </w:rPr>
        <w:footnoteReference w:id="7"/>
      </w:r>
      <w:r>
        <w:rPr>
          <w:noProof/>
        </w:rPr>
        <w:t>.</w:t>
      </w:r>
    </w:p>
    <w:p>
      <w:pPr>
        <w:pStyle w:val="ManualHeading3"/>
        <w:rPr>
          <w:noProof/>
        </w:rPr>
      </w:pPr>
      <w:r>
        <w:t>4.1.2.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>ICCAT е орган, учреден по силата на споразумение — по-конкретно Конвенцията ICCAT.</w:t>
      </w:r>
    </w:p>
    <w:p>
      <w:pPr>
        <w:rPr>
          <w:noProof/>
        </w:rPr>
      </w:pPr>
      <w:r>
        <w:rPr>
          <w:noProof/>
        </w:rPr>
        <w:t>Актовете, които ICCAT има за задача да приеме, представляват актове с правно действие. В съответствие с член VIII от Конвенцията ICCAT тези актове ще бъдат обвързващи съгласно международното право и, тъй като препоръките на ICCAT могат да допълват, изменят или заменят задължения, предвидени в съществуващото законодателство на ЕС, посочените актове могат да окажат съществено въздействие върху съдържанието на законодателството на ЕС, в това число:</w:t>
      </w:r>
    </w:p>
    <w:p>
      <w:pPr>
        <w:pStyle w:val="Bullet0"/>
        <w:numPr>
          <w:ilvl w:val="0"/>
          <w:numId w:val="11"/>
        </w:numPr>
        <w:rPr>
          <w:noProof/>
        </w:rPr>
      </w:pPr>
      <w:r>
        <w:rPr>
          <w:noProof/>
        </w:rPr>
        <w:t>Регламент (ЕО) № 1005/2008 на Съвета за създаване на система на Общността за предотвратяване, възпиране и премахване на незаконния, недеклариран и нерегулиран риболов</w:t>
      </w:r>
      <w:r>
        <w:rPr>
          <w:rStyle w:val="FootnoteReference"/>
          <w:noProof/>
        </w:rPr>
        <w:footnoteReference w:id="8"/>
      </w:r>
      <w:r>
        <w:rPr>
          <w:noProof/>
        </w:rPr>
        <w:t xml:space="preserve">; </w:t>
      </w:r>
    </w:p>
    <w:p>
      <w:pPr>
        <w:pStyle w:val="Bullet0"/>
        <w:rPr>
          <w:noProof/>
        </w:rPr>
      </w:pPr>
      <w:r>
        <w:rPr>
          <w:noProof/>
        </w:rPr>
        <w:t>Регламент (ЕО) № 1224/2009 на Съвета за създаване на система за контрол на Общността за гарантиране на спазването на правилата на общата политика в областта на рибарството</w:t>
      </w:r>
      <w:r>
        <w:rPr>
          <w:rStyle w:val="FootnoteReference"/>
          <w:noProof/>
        </w:rPr>
        <w:footnoteReference w:id="9"/>
      </w:r>
      <w:r>
        <w:rPr>
          <w:noProof/>
        </w:rPr>
        <w:t xml:space="preserve">; </w:t>
      </w:r>
    </w:p>
    <w:p>
      <w:pPr>
        <w:pStyle w:val="Bullet0"/>
        <w:rPr>
          <w:noProof/>
        </w:rPr>
      </w:pPr>
      <w:r>
        <w:rPr>
          <w:noProof/>
        </w:rPr>
        <w:t>Регламент (ЕС) 2017/2403 на Европейския парламент и на Съвета относно устойчивото управление на външните риболовни флотове</w:t>
      </w:r>
      <w:r>
        <w:rPr>
          <w:rStyle w:val="FootnoteReference"/>
          <w:noProof/>
        </w:rPr>
        <w:footnoteReference w:id="10"/>
      </w:r>
      <w:r>
        <w:rPr>
          <w:noProof/>
        </w:rPr>
        <w:t xml:space="preserve">; </w:t>
      </w:r>
    </w:p>
    <w:p>
      <w:pPr>
        <w:pStyle w:val="Bullet0"/>
        <w:rPr>
          <w:noProof/>
        </w:rPr>
      </w:pPr>
      <w:r>
        <w:rPr>
          <w:noProof/>
        </w:rPr>
        <w:t>Регламент (ЕС) 2016/1627 на Европейския парламент и на Съвета относно многогодишен план за възстановяване на червения тон в източната част на Атлантическия океан и в Средиземно море и за отмяна на Регламент (ЕО) № 302/2009 на Съвета</w:t>
      </w:r>
      <w:r>
        <w:rPr>
          <w:rStyle w:val="FootnoteReference"/>
          <w:noProof/>
        </w:rPr>
        <w:footnoteReference w:id="11"/>
      </w:r>
      <w:r>
        <w:rPr>
          <w:noProof/>
        </w:rPr>
        <w:t xml:space="preserve">; </w:t>
      </w:r>
    </w:p>
    <w:p>
      <w:pPr>
        <w:pStyle w:val="Bullet0"/>
        <w:rPr>
          <w:noProof/>
        </w:rPr>
      </w:pPr>
      <w:r>
        <w:rPr>
          <w:noProof/>
        </w:rPr>
        <w:t>Регламент (EО) № 1936/2001 на Съвета за определяне на мерки за контрол, приложими към риболовните дейности спрямо някои запаси от далекомигриращи видове</w:t>
      </w:r>
      <w:r>
        <w:rPr>
          <w:rStyle w:val="FootnoteReference"/>
          <w:noProof/>
        </w:rPr>
        <w:footnoteReference w:id="12"/>
      </w:r>
      <w:r>
        <w:rPr>
          <w:noProof/>
        </w:rPr>
        <w:t xml:space="preserve">; </w:t>
      </w:r>
    </w:p>
    <w:p>
      <w:pPr>
        <w:pStyle w:val="Bullet0"/>
        <w:rPr>
          <w:noProof/>
        </w:rPr>
      </w:pPr>
      <w:r>
        <w:rPr>
          <w:noProof/>
        </w:rPr>
        <w:t>Регламент (ЕО) № 520/2007 на Съвета за определяне на технически мерки за опазването на определени популации от далекомигриращи видове риба и за отмяна на Регламент (ЕО) № 973/2001</w:t>
      </w:r>
      <w:r>
        <w:rPr>
          <w:rStyle w:val="FootnoteReference"/>
          <w:noProof/>
        </w:rPr>
        <w:footnoteReference w:id="13"/>
      </w:r>
      <w:r>
        <w:rPr>
          <w:noProof/>
        </w:rPr>
        <w:t xml:space="preserve">; и </w:t>
      </w:r>
    </w:p>
    <w:p>
      <w:pPr>
        <w:pStyle w:val="Bullet0"/>
        <w:rPr>
          <w:noProof/>
        </w:rPr>
      </w:pPr>
      <w:r>
        <w:rPr>
          <w:noProof/>
        </w:rPr>
        <w:t>Регламент (ЕО) № 1984/2003 на Съвета за въвеждане в Общността на режим на статистическа регистрация на червен тон, риба меч и едроок тон</w:t>
      </w:r>
      <w:r>
        <w:rPr>
          <w:rStyle w:val="FootnoteReference"/>
          <w:noProof/>
        </w:rPr>
        <w:footnoteReference w:id="14"/>
      </w:r>
      <w:r>
        <w:rPr>
          <w:noProof/>
        </w:rPr>
        <w:t xml:space="preserve">. </w:t>
      </w:r>
    </w:p>
    <w:p>
      <w:pPr>
        <w:rPr>
          <w:noProof/>
        </w:rPr>
      </w:pPr>
      <w:r>
        <w:rPr>
          <w:noProof/>
        </w:rPr>
        <w:t>Предвидените актове не допълват, нито изменят институционалната рамка на Конвенцията ICCAT.</w:t>
      </w:r>
    </w:p>
    <w:p>
      <w:pPr>
        <w:rPr>
          <w:noProof/>
        </w:rPr>
      </w:pPr>
      <w:r>
        <w:rPr>
          <w:noProof/>
        </w:rPr>
        <w:t>Поради това процесуалноправното основание за предложеното решение е член 218, параграф 9 от ДФЕС.</w:t>
      </w:r>
    </w:p>
    <w:p>
      <w:pPr>
        <w:pStyle w:val="ManualHeading2"/>
        <w:rPr>
          <w:noProof/>
        </w:rPr>
      </w:pPr>
      <w:r>
        <w:lastRenderedPageBreak/>
        <w:t>4.2.</w:t>
      </w:r>
      <w:r>
        <w:tab/>
      </w:r>
      <w:r>
        <w:rPr>
          <w:noProof/>
        </w:rPr>
        <w:t>Материалноправно основание</w:t>
      </w:r>
    </w:p>
    <w:p>
      <w:pPr>
        <w:pStyle w:val="ManualHeading3"/>
        <w:rPr>
          <w:noProof/>
        </w:rPr>
      </w:pPr>
      <w:r>
        <w:t>4.2.1.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Материалноправното основание за дадено решение съгласно член 218, параграф 9 от ДФЕС зависи преди всичко от целта и съдържанието на предвидения акт, във връзка с който се заема позиция от името на Съюза. Ако актът преследва две цели или се състои от две части и ако едната от целите или частите може да се определи като основна, докато другата е само акцесорна, решението съгласно член 218, параграф 9 от ДФЕС трябва да се основава на едно-единствено материалноправно основание, а именно на изискваното от основната или преобладаващата цел или част.</w:t>
      </w:r>
    </w:p>
    <w:p>
      <w:pPr>
        <w:pStyle w:val="ManualHeading3"/>
        <w:rPr>
          <w:noProof/>
        </w:rPr>
      </w:pPr>
      <w:r>
        <w:t>4.2.2.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>Основната цел и съдържанието на предвидения акт са свързани с рибарството. Правното основание при определяне на принципите, които трябва да бъдат отразени в настоящата позиция, е Регламент (ЕС) № 1380/2013.</w:t>
      </w:r>
    </w:p>
    <w:p>
      <w:pPr>
        <w:rPr>
          <w:noProof/>
        </w:rPr>
      </w:pPr>
      <w:r>
        <w:rPr>
          <w:noProof/>
        </w:rPr>
        <w:t>Поради това материалноправното основание за предложеното решение е член 43, параграф 2 от ДФЕС. С решението се заменя Решение 10974/1/14 REV 1, което се отнася за периода 2014—2018 г.</w:t>
      </w:r>
    </w:p>
    <w:p>
      <w:pPr>
        <w:pStyle w:val="ManualHeading2"/>
        <w:rPr>
          <w:noProof/>
        </w:rPr>
      </w:pPr>
      <w:r>
        <w:t>4.3.</w:t>
      </w:r>
      <w:r>
        <w:tab/>
      </w:r>
      <w:r>
        <w:rPr>
          <w:noProof/>
        </w:rPr>
        <w:t>Заключение</w:t>
      </w:r>
    </w:p>
    <w:p>
      <w:pPr>
        <w:rPr>
          <w:noProof/>
        </w:rPr>
      </w:pPr>
      <w:r>
        <w:rPr>
          <w:noProof/>
        </w:rPr>
        <w:t>Правното основание за предложеното решение следва да бъде член 43, параграф 2 от Договора за функционирането на Европейския съюз във връзка с член 218, параграф 9 от него.</w:t>
      </w: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2019/0061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позицията, която трябва да се заеме от името на Европейския съюз в рамките на Международната комисия за опазване на рибата тон в Атлантическия океан, и за отмяна на Решение 10974/1/14 REV 1</w:t>
      </w:r>
    </w:p>
    <w:p>
      <w:pPr>
        <w:pStyle w:val="Institutionquiagit"/>
        <w:rPr>
          <w:b/>
          <w:noProof/>
        </w:rPr>
      </w:pPr>
      <w:r>
        <w:rPr>
          <w:b/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 43, параграф 2 във връзка с член 218, параграф 9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С решение на Съвета от 9 юни 1986 г.</w:t>
      </w:r>
      <w:r>
        <w:rPr>
          <w:rStyle w:val="FootnoteReference"/>
          <w:noProof/>
        </w:rPr>
        <w:footnoteReference w:id="15"/>
      </w:r>
      <w:r>
        <w:rPr>
          <w:noProof/>
        </w:rPr>
        <w:t xml:space="preserve"> Европейската общност сключи Международната конвенция за опазване на рибата тон в Атлантическия океан (Конвенцията ICCAT), с която беше учредена Международната комисия за опазване на рибата тон в Атлантическия океан (ICCAT).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ICCAT отговаря за приемането на мерки, чиято цел е да се осигурят дългосрочното опазване и устойчивото използване на рибните ресурси в зоната на Конвенцията ICCAT и да се опазят морските екосистеми, в които се срещат тези ресурси. Мерките могат да придобият обвързващ характер по отношение на Съюза.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В Регламент (ЕС) № 1380/2013 на Европейския парламент и на Съвета</w:t>
      </w:r>
      <w:r>
        <w:rPr>
          <w:rStyle w:val="FootnoteReference"/>
          <w:noProof/>
        </w:rPr>
        <w:footnoteReference w:id="16"/>
      </w:r>
      <w:r>
        <w:rPr>
          <w:noProof/>
        </w:rPr>
        <w:t xml:space="preserve"> се предвижда задължение за Съюза да гарантира, че дейностите, свързани с риболова и аквакултурите, са екологично устойчиви в дългосрочен план и се управляват по начин, който съответства на целите за постигане на икономически и социални ползи и ползи за заетостта, както и за осигуряване на продоволственото снабдяване. В него също така се посочва, че Съюзът трябва да прилага подхода на предпазливост към управлението на рибарството, като целта е да се гарантира, че експлоатацията на живите морски биологични ресурси осигурява възстановяването и поддържането на популациите на улавяните видове над нивата, позволяващи максимален устойчив улов. Наред с това в регламента се предвижда задължение за Съюза да предприема мерки за опазване и управление въз основа на най-добрите налични научни становища, да оказва подкрепа при развитието на научните познания и становища, постепенно да </w:t>
      </w:r>
      <w:r>
        <w:rPr>
          <w:noProof/>
        </w:rPr>
        <w:lastRenderedPageBreak/>
        <w:t>премахне изхвърлянето на улов и да насърчава методи за риболов, които допринасят за по-селективен риболов, за избягване и, доколкото е възможно, за намаляване на нежелания улов, както и за риболов, който има слабо въздействие върху морските екосистеми и рибните ресурси. В Регламент (ЕС) № 1380/2013 също така изрично се предвижда, че Съюзът трябва да прилага тези цели и принципи при осъществяването на своите външни отношения в областта на рибарството.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Както се посочва в съвместното съобщение на върховния представител на Съюза по въпросите на външните работи и политиката на сигурност и на Европейската комисия, озаглавено „Международно управление на океаните: приносът на ЕС за отговорното управление на океаните“</w:t>
      </w:r>
      <w:r>
        <w:rPr>
          <w:rStyle w:val="FootnoteReference"/>
          <w:noProof/>
        </w:rPr>
        <w:footnoteReference w:id="17"/>
      </w:r>
      <w:r>
        <w:rPr>
          <w:noProof/>
        </w:rPr>
        <w:t>, и в заключенията на Съвета във връзка с това съвместно съобщение</w:t>
      </w:r>
      <w:r>
        <w:rPr>
          <w:rStyle w:val="FootnoteReference"/>
          <w:noProof/>
        </w:rPr>
        <w:footnoteReference w:id="18"/>
      </w:r>
      <w:r>
        <w:rPr>
          <w:noProof/>
        </w:rPr>
        <w:t>, насърчаването на мерките за подкрепа и повишаване на ефективността на регионалните организации за управление на рибарството и, когато е уместно, за подобряване на тяхното управление са в центъра на действието на ЕС в рамките на тези форуми.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В съобщението на Комисията до Европейския парламент, Съвета, Европейския икономически и социален комитет и Комитета на регионите, озаглавено „Европейска стратегия за пластмасите в кръговата икономика“</w:t>
      </w:r>
      <w:r>
        <w:rPr>
          <w:rStyle w:val="FootnoteReference"/>
          <w:noProof/>
        </w:rPr>
        <w:footnoteReference w:id="19"/>
      </w:r>
      <w:r>
        <w:rPr>
          <w:noProof/>
        </w:rPr>
        <w:t>, се посочват конкретни мерки за намаляване на отпадъците от пластмаси и замърсяването на морската среда, както и за ограничаване на случаите на загуба или изоставяне на риболовни уреди в морето.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Целесъобразно е да се установи позицията, която трябва да се заеме от името на Съюза на заседанията на IOTC за периода 2019—2024 г., тъй като мерките на IOTC за опазване и изпълнение ще бъдат обвързващи за Съюза и могат да окажат съществено въздействие върху съдържанието на неговото законодателство, а именно: Регламент (ЕО) № 1005/2008 на Съвета</w:t>
      </w:r>
      <w:r>
        <w:rPr>
          <w:rStyle w:val="FootnoteReference"/>
          <w:noProof/>
        </w:rPr>
        <w:footnoteReference w:id="20"/>
      </w:r>
      <w:r>
        <w:rPr>
          <w:noProof/>
        </w:rPr>
        <w:t>, Регламент (ЕО) № 1224/2009 на Съвета</w:t>
      </w:r>
      <w:r>
        <w:rPr>
          <w:rStyle w:val="FootnoteReference"/>
          <w:noProof/>
        </w:rPr>
        <w:footnoteReference w:id="21"/>
      </w:r>
      <w:r>
        <w:rPr>
          <w:noProof/>
        </w:rPr>
        <w:t>, Регламент (ЕС) 2017/2403 на Европейския парламент и на Съвета</w:t>
      </w:r>
      <w:r>
        <w:rPr>
          <w:rStyle w:val="FootnoteReference"/>
          <w:noProof/>
        </w:rPr>
        <w:footnoteReference w:id="22"/>
      </w:r>
      <w:r>
        <w:rPr>
          <w:noProof/>
        </w:rPr>
        <w:t>, Регламент (ЕС) 2016/1627 на Европейския парламент и на Съвета</w:t>
      </w:r>
      <w:r>
        <w:rPr>
          <w:rStyle w:val="FootnoteReference"/>
          <w:noProof/>
        </w:rPr>
        <w:footnoteReference w:id="23"/>
      </w:r>
      <w:r>
        <w:rPr>
          <w:noProof/>
        </w:rPr>
        <w:t>, Регламент (ЕО) № 1936/2001 на Съвета</w:t>
      </w:r>
      <w:r>
        <w:rPr>
          <w:rStyle w:val="FootnoteReference"/>
          <w:noProof/>
        </w:rPr>
        <w:footnoteReference w:id="24"/>
      </w:r>
      <w:r>
        <w:rPr>
          <w:noProof/>
        </w:rPr>
        <w:t xml:space="preserve">, Регламент (ЕО) № </w:t>
      </w:r>
      <w:r>
        <w:rPr>
          <w:noProof/>
        </w:rPr>
        <w:lastRenderedPageBreak/>
        <w:t>520/2007 на Съвета</w:t>
      </w:r>
      <w:r>
        <w:rPr>
          <w:rStyle w:val="FootnoteReference"/>
          <w:noProof/>
        </w:rPr>
        <w:footnoteReference w:id="25"/>
      </w:r>
      <w:r>
        <w:rPr>
          <w:noProof/>
        </w:rPr>
        <w:t xml:space="preserve"> и Регламент (ЕО) № 1984/2003 на Съвета</w:t>
      </w:r>
      <w:r>
        <w:rPr>
          <w:rStyle w:val="FootnoteReference"/>
          <w:noProof/>
        </w:rPr>
        <w:footnoteReference w:id="26"/>
      </w:r>
      <w:r>
        <w:rPr>
          <w:noProof/>
        </w:rPr>
        <w:t>. Това се налага поради обстоятелството, че препоръките, приемани от ICCAT, могат да допълват, изменят или заменят задължения, предвидени в съществуващото законодателство на ЕС.</w:t>
      </w:r>
    </w:p>
    <w:p>
      <w:pPr>
        <w:pStyle w:val="ManualConsidrant"/>
        <w:rPr>
          <w:noProof/>
        </w:rPr>
      </w:pPr>
      <w:r>
        <w:t>(7)</w:t>
      </w:r>
      <w:r>
        <w:tab/>
      </w:r>
      <w:r>
        <w:rPr>
          <w:noProof/>
        </w:rPr>
        <w:t>Позицията, която трябва да се заеме от името на Съюза на заседанията на ICCAT, понастоящем е установена с Решение 10974/1/14 REV 1 на Съвета</w:t>
      </w:r>
      <w:r>
        <w:rPr>
          <w:rStyle w:val="FootnoteReference"/>
          <w:noProof/>
        </w:rPr>
        <w:footnoteReference w:id="27"/>
      </w:r>
      <w:r>
        <w:rPr>
          <w:noProof/>
        </w:rPr>
        <w:t>. Целесъобразно е Решение 10974/1/14 REV 1 да се отмени и да се замени с ново решение за периода 2019—2023 г.</w:t>
      </w:r>
    </w:p>
    <w:p>
      <w:pPr>
        <w:pStyle w:val="ManualConsidrant"/>
        <w:rPr>
          <w:noProof/>
        </w:rPr>
      </w:pPr>
      <w:r>
        <w:t>(8)</w:t>
      </w:r>
      <w:r>
        <w:tab/>
      </w:r>
      <w:r>
        <w:rPr>
          <w:noProof/>
        </w:rPr>
        <w:t>Предвид изменящия се характер на рибните ресурси в зоната на Конвенцията ICCAT и произтичащата от това необходимост в позицията на Съюза да бъдат взети под внимание някои нови обстоятелства, включително новата научна и друга важна информация, представена преди или по време на заседанията на ICCAT, следва да бъдат установени процедури във връзка с ежегодното уточняване на позицията на Съюза за периода 2019—2023 г., които са съобразени с принципа на лоялно сътрудничество между институциите на Съюза, залегнал в член 13, параграф 2 от Договора за Европейския съюз,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 1</w:t>
      </w:r>
    </w:p>
    <w:p>
      <w:pPr>
        <w:autoSpaceDE w:val="0"/>
        <w:autoSpaceDN w:val="0"/>
        <w:adjustRightInd w:val="0"/>
        <w:spacing w:before="0" w:after="0"/>
        <w:rPr>
          <w:noProof/>
        </w:rPr>
      </w:pPr>
      <w:r>
        <w:rPr>
          <w:noProof/>
        </w:rPr>
        <w:t>Позицията, която трябва да се заеме от името на Съюза на заседанията на Международната комисия за опазване на рибата тон в Атлантическия океан (ICCAT), е определена в приложение I към настоящото решение.</w:t>
      </w:r>
    </w:p>
    <w:p>
      <w:pPr>
        <w:pStyle w:val="Titrearticle"/>
        <w:rPr>
          <w:noProof/>
        </w:rPr>
      </w:pPr>
      <w:r>
        <w:rPr>
          <w:noProof/>
        </w:rPr>
        <w:t>Член 2</w:t>
      </w:r>
    </w:p>
    <w:p>
      <w:pPr>
        <w:autoSpaceDE w:val="0"/>
        <w:autoSpaceDN w:val="0"/>
        <w:adjustRightInd w:val="0"/>
        <w:spacing w:before="0" w:after="0"/>
        <w:rPr>
          <w:noProof/>
          <w:szCs w:val="24"/>
        </w:rPr>
      </w:pPr>
      <w:r>
        <w:rPr>
          <w:noProof/>
        </w:rPr>
        <w:t>Ежегодното уточняване на позицията на Съюза, която трябва да се заеме на заседанията на ICCAT, се извършва в съответствие с приложение II.</w:t>
      </w:r>
    </w:p>
    <w:p>
      <w:pPr>
        <w:pStyle w:val="Titrearticle"/>
        <w:rPr>
          <w:noProof/>
        </w:rPr>
      </w:pPr>
      <w:r>
        <w:rPr>
          <w:noProof/>
        </w:rPr>
        <w:t>Член 3</w:t>
      </w:r>
    </w:p>
    <w:p>
      <w:pPr>
        <w:rPr>
          <w:noProof/>
        </w:rPr>
      </w:pPr>
      <w:r>
        <w:rPr>
          <w:noProof/>
        </w:rPr>
        <w:t>Позицията на Съюза, определена в приложение I, се оценява и при необходимост се преразглежда от Съвета по предложение на Комисията най-късно за годишното заседание на ICCAT през 2024 г.</w:t>
      </w:r>
    </w:p>
    <w:p>
      <w:pPr>
        <w:pStyle w:val="Titrearticle"/>
        <w:rPr>
          <w:noProof/>
        </w:rPr>
      </w:pPr>
      <w:r>
        <w:rPr>
          <w:noProof/>
        </w:rPr>
        <w:t>Член 4</w:t>
      </w:r>
    </w:p>
    <w:p>
      <w:pPr>
        <w:autoSpaceDE w:val="0"/>
        <w:autoSpaceDN w:val="0"/>
        <w:adjustRightInd w:val="0"/>
        <w:spacing w:before="0" w:after="0"/>
        <w:rPr>
          <w:noProof/>
          <w:szCs w:val="24"/>
        </w:rPr>
      </w:pPr>
      <w:r>
        <w:rPr>
          <w:noProof/>
        </w:rPr>
        <w:t>Решение 10974/1/14 REV 1 от 20 юни 2014 г. се отменя.</w:t>
      </w:r>
    </w:p>
    <w:p>
      <w:pPr>
        <w:pStyle w:val="Titrearticle"/>
        <w:rPr>
          <w:noProof/>
        </w:rPr>
      </w:pPr>
      <w:r>
        <w:rPr>
          <w:noProof/>
        </w:rPr>
        <w:lastRenderedPageBreak/>
        <w:t>Член 5</w:t>
      </w:r>
    </w:p>
    <w:p>
      <w:pPr>
        <w:keepNext/>
        <w:keepLines/>
        <w:autoSpaceDE w:val="0"/>
        <w:autoSpaceDN w:val="0"/>
        <w:adjustRightInd w:val="0"/>
        <w:spacing w:before="0" w:after="0"/>
        <w:rPr>
          <w:noProof/>
          <w:szCs w:val="24"/>
        </w:rPr>
      </w:pPr>
      <w:r>
        <w:rPr>
          <w:noProof/>
        </w:rPr>
        <w:t>Адресат на настоящото решение е Комисията.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keepNext/>
        <w:rPr>
          <w:noProof/>
        </w:rPr>
      </w:pPr>
      <w:r>
        <w:rPr>
          <w:noProof/>
        </w:rPr>
        <w:tab/>
        <w:t>Председател</w:t>
      </w:r>
    </w:p>
    <w:p>
      <w:pPr>
        <w:pStyle w:val="Personnequisigne"/>
        <w:rPr>
          <w:noProof/>
        </w:rPr>
      </w:pP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8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Решение на Съвета от 9 юни 1986 г. относно присъединяването на Общността към Международната конвенция за опазване на рибата тон в Атлантическия океан, изменена с протокола, приложен към заключителния акт от конференцията на пълномощните представители на държавите — страни по Конвенцията, подписан в Париж на 10 юли 1984 година (ОВ L 162, 18.6.1986 г., стр. 33).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№ 1380/2013 на Европейския парламент и на Съвета относно общата политика в областта на рибарството, за изменение на регламенти (ЕО) № 1954/2003 и (ЕО) № 1224/2009 на Съвета и за отмяна на регламенти (ЕО) № 2371/2002 и (ЕО) № 639/2004 на Съвета и Решение 2004/585/ЕО на Съвета (ОВ L 354, 28.12.2013 г., стр. 22).</w:t>
      </w:r>
    </w:p>
  </w:footnote>
  <w:footnote w:id="3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  <w:t>COM(2011) 424, 13.7.2011 г.</w:t>
      </w:r>
    </w:p>
  </w:footnote>
  <w:footnote w:id="4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  <w:t>COM(2018) 28 final, 16.1.2018 г.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JOIN(2016) 49 final, 10.11.2016 г.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7348/1/17 REV 1, 24.3.2017 г.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Решение на Съда на Европейския съюз от 7 октомври 2014 г., Германия/Съвет, C-399/12, ECLI:EU:C:2014:2258, т. 61—64.</w:t>
      </w:r>
    </w:p>
  </w:footnote>
  <w:footnote w:id="8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ab/>
        <w:t>ОВ L 286, 29.10.2008 г., стр. 1.</w:t>
      </w:r>
    </w:p>
  </w:footnote>
  <w:footnote w:id="9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ab/>
        <w:t>ОВ L 343, 22.12.2009 г., стр. 1.</w:t>
      </w:r>
    </w:p>
  </w:footnote>
  <w:footnote w:id="10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ab/>
        <w:t>ОВ L 347, 28.12.2017 г., стр. 81.</w:t>
      </w:r>
    </w:p>
  </w:footnote>
  <w:footnote w:id="11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ab/>
        <w:t>ОВ L 252, 16.9.2016 г., стр. 1.</w:t>
      </w:r>
    </w:p>
  </w:footnote>
  <w:footnote w:id="12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ab/>
        <w:t>ОВ L 263, 3.10.2001 г., стр. 1.</w:t>
      </w:r>
    </w:p>
  </w:footnote>
  <w:footnote w:id="13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ab/>
        <w:t>ОВ L 123, 12.5.2007 г., стp. 3.</w:t>
      </w:r>
    </w:p>
  </w:footnote>
  <w:footnote w:id="14">
    <w:p>
      <w:pPr>
        <w:pStyle w:val="FootnoteText"/>
      </w:pPr>
      <w:r>
        <w:rPr>
          <w:rStyle w:val="FootnoteReference"/>
        </w:rPr>
        <w:footnoteRef/>
      </w:r>
      <w:r>
        <w:tab/>
        <w:t>ОВ L 295, 13.11.2003 г., стр. 1.</w:t>
      </w:r>
    </w:p>
  </w:footnote>
  <w:footnote w:id="15">
    <w:p>
      <w:pPr>
        <w:pStyle w:val="FootnoteText"/>
      </w:pPr>
      <w:r>
        <w:rPr>
          <w:rStyle w:val="FootnoteReference"/>
        </w:rPr>
        <w:footnoteRef/>
      </w:r>
      <w:r>
        <w:tab/>
        <w:t>Решение на Съвета от 9 юни 1986 г. относно присъединяването на Общността към Международната конвенция за опазване на рибата тон в Атлантическия океан, изменена с протокола, приложен към заключителния акт от конференцията на пълномощните представители на държавите — страни по Конвенцията, подписан в Париж на 10 юли 1984 година (ОВ L 162, 18.6.1986 г., стр. 33).</w:t>
      </w:r>
    </w:p>
  </w:footnote>
  <w:footnote w:id="16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№ 1380/2013 на Европейския парламент и на Съвета от 11 декември 2013 г. относно общата политика в областта на рибарството, за изменение на регламенти (ЕО) № 1954/2003 и (ЕО) № 1224/2009 на Съвета и за отмяна на регламенти (ЕО) № 2371/2002 и (ЕО) № 639/2004 на Съвета и Решение 2004/585/ЕО на Съвета (ОВ L 354, 28.12.2013 г., стр. 22).</w:t>
      </w:r>
    </w:p>
  </w:footnote>
  <w:footnote w:id="17">
    <w:p>
      <w:pPr>
        <w:pStyle w:val="FootnoteText"/>
      </w:pPr>
      <w:r>
        <w:rPr>
          <w:rStyle w:val="FootnoteReference"/>
        </w:rPr>
        <w:footnoteRef/>
      </w:r>
      <w:r>
        <w:tab/>
        <w:t>JOIN(2016) 49 final, 10.11.2016 г.</w:t>
      </w:r>
    </w:p>
  </w:footnote>
  <w:footnote w:id="18">
    <w:p>
      <w:pPr>
        <w:pStyle w:val="FootnoteText"/>
      </w:pPr>
      <w:r>
        <w:rPr>
          <w:rStyle w:val="FootnoteReference"/>
        </w:rPr>
        <w:footnoteRef/>
      </w:r>
      <w:r>
        <w:tab/>
        <w:t>7348/1/17 REV 1, 24.3.2017 г.</w:t>
      </w:r>
    </w:p>
  </w:footnote>
  <w:footnote w:id="19">
    <w:p>
      <w:pPr>
        <w:pStyle w:val="FootnoteText"/>
      </w:pPr>
      <w:r>
        <w:rPr>
          <w:rStyle w:val="FootnoteReference"/>
        </w:rPr>
        <w:footnoteRef/>
      </w:r>
      <w:r>
        <w:tab/>
        <w:t>COM(2018) 28 final, 16.1.2018 г.</w:t>
      </w:r>
    </w:p>
  </w:footnote>
  <w:footnote w:id="20">
    <w:p>
      <w:pPr>
        <w:pStyle w:val="FootnoteText"/>
      </w:pPr>
      <w:r>
        <w:rPr>
          <w:rStyle w:val="FootnoteReference"/>
        </w:rPr>
        <w:footnoteRef/>
      </w:r>
      <w:r>
        <w:tab/>
        <w:t>Регламент (ЕО) № 1005/2008 на Съвета за създаване на система на Общността за предотвратяване, възпиране и премахване на незаконния, недеклариран и нерегулиран риболов, за изменение на регламенти (ЕИО) № 2847/93, (ЕО) № 1936/2001 и (ЕО) № 601/2004 и за отмяна на регламенти (ЕО) № 1093/94 и (ЕО) № 1447/1999 (ОВ L 286, 29.10.2008 г., стр. 1).</w:t>
      </w:r>
    </w:p>
  </w:footnote>
  <w:footnote w:id="21">
    <w:p>
      <w:pPr>
        <w:pStyle w:val="FootnoteText"/>
      </w:pPr>
      <w:r>
        <w:rPr>
          <w:rStyle w:val="FootnoteReference"/>
        </w:rPr>
        <w:footnoteRef/>
      </w:r>
      <w:r>
        <w:tab/>
        <w:t>Регламент (ЕО) № 1224/2009 на Съвета от 20 ноември 2009 г. за създаване на система за контрол на Съюза за гарантиране на спазването на правилата на общата политика в областта на рибарството, за изменение на регламенти (ЕО) № 847/96, (ЕО) № 2371/2002, (ЕО) № 811/2004, (ЕО) № 768/2005, (ЕО) № 2115/2005, (ЕО) № 2166/2005, (ЕО) № 388/2006, (ЕО) № 509/2007, (ЕО) № 676/2007, (ЕО) № 1098/2007, (ЕО) № 1300/2008, (ЕО) № 1342/2008 и за отмяна на регламенти (ЕИО) № 2847/93, (ЕО) № 1627/94 и (ЕО) № 1966/2006 (ОВ L 343, 22.12.2009 г., стр. 1).</w:t>
      </w:r>
    </w:p>
  </w:footnote>
  <w:footnote w:id="22">
    <w:p>
      <w:pPr>
        <w:pStyle w:val="FootnoteText"/>
      </w:pPr>
      <w:r>
        <w:rPr>
          <w:rStyle w:val="FootnoteReference"/>
        </w:rPr>
        <w:footnoteRef/>
      </w:r>
      <w:r>
        <w:tab/>
        <w:t>Регламент (ЕС) 2017/2403 на Европейския парламент и на Съвета от 12 декември 2017 г. относно устойчивото управление на външните риболовни флотове и за отмяна на Регламент (ЕО) № 1006/2008 на Съвета (ОВ L 347, 28.12.2017 г., стр. 81).</w:t>
      </w:r>
    </w:p>
  </w:footnote>
  <w:footnote w:id="23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2016/1627 на Европейския парламент и на Съвета от 14 септември 2016 г. относно многогодишен план за възстановяване на червения тон в източната част на Атлантическия океан и в Средиземно море и за отмяна на Регламент (ЕО) № 302/2009 на Съвета (ОВ L 252, 16.9.2016 г., стр. 1).</w:t>
      </w:r>
    </w:p>
  </w:footnote>
  <w:footnote w:id="24">
    <w:p>
      <w:pPr>
        <w:pStyle w:val="FootnoteText"/>
      </w:pPr>
      <w:r>
        <w:rPr>
          <w:rStyle w:val="FootnoteReference"/>
        </w:rPr>
        <w:footnoteRef/>
      </w:r>
      <w:r>
        <w:tab/>
        <w:t>Регламент (ЕО) № 1936/2001 на Съвета от 27 септември 2001 г. за определяне на мерки за контрол, приложими към риболовните дейности спрямо някои запаси от далекомигриращи видове (ОВ L 263, 3.10.2001 г., стр. 1).</w:t>
      </w:r>
    </w:p>
  </w:footnote>
  <w:footnote w:id="25">
    <w:p>
      <w:pPr>
        <w:pStyle w:val="FootnoteText"/>
      </w:pPr>
      <w:r>
        <w:rPr>
          <w:rStyle w:val="FootnoteReference"/>
        </w:rPr>
        <w:footnoteRef/>
      </w:r>
      <w:r>
        <w:tab/>
        <w:t>Регламент (ЕО) № 520/2007 на Съвета от 7 май 2007 г. за определяне на технически мерки за опазването на определени популации от далекомигриращи видове риба и за отмяна на Регламент (ЕО) № 973/2001 (ОВ L 123, 12.5.2007 г., стр. 3).</w:t>
      </w:r>
    </w:p>
  </w:footnote>
  <w:footnote w:id="26">
    <w:p>
      <w:pPr>
        <w:pStyle w:val="FootnoteText"/>
      </w:pPr>
      <w:r>
        <w:rPr>
          <w:rStyle w:val="FootnoteReference"/>
        </w:rPr>
        <w:footnoteRef/>
      </w:r>
      <w:r>
        <w:tab/>
        <w:t>Регламент (ЕО) № 1984/2003 на Съвета от 8 април 2003 г. за въвеждане в Общността на режим на статистическа регистрация на червен тон, риба меч и едроок тон (ОВ L 295, 13.11.2003 г., стр. 1).</w:t>
      </w:r>
    </w:p>
  </w:footnote>
  <w:footnote w:id="27">
    <w:p>
      <w:pPr>
        <w:pStyle w:val="FootnoteText"/>
      </w:pPr>
      <w:r>
        <w:rPr>
          <w:rStyle w:val="FootnoteReference"/>
        </w:rPr>
        <w:footnoteRef/>
      </w:r>
      <w:r>
        <w:tab/>
        <w:t>Решение на Съвета от 20 юни 2014 г. относно позицията, която трябва да се заеме от името на Европейския съюз в рамките на Международната комисия за опазване на рибата тон в Атлантическия океан (ICCAT).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AE437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D9898E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6D6264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89A618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B4E57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00E3D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34048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E1EAD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4"/>
    <w:lvlOverride w:ilvl="0">
      <w:startOverride w:val="1"/>
    </w:lvlOverride>
  </w:num>
  <w:num w:numId="12">
    <w:abstractNumId w:val="18"/>
  </w:num>
  <w:num w:numId="13">
    <w:abstractNumId w:val="12"/>
  </w:num>
  <w:num w:numId="14">
    <w:abstractNumId w:val="20"/>
  </w:num>
  <w:num w:numId="15">
    <w:abstractNumId w:val="11"/>
  </w:num>
  <w:num w:numId="16">
    <w:abstractNumId w:val="13"/>
  </w:num>
  <w:num w:numId="17">
    <w:abstractNumId w:val="9"/>
  </w:num>
  <w:num w:numId="18">
    <w:abstractNumId w:val="19"/>
  </w:num>
  <w:num w:numId="19">
    <w:abstractNumId w:val="8"/>
  </w:num>
  <w:num w:numId="20">
    <w:abstractNumId w:val="14"/>
  </w:num>
  <w:num w:numId="21">
    <w:abstractNumId w:val="16"/>
  </w:num>
  <w:num w:numId="22">
    <w:abstractNumId w:val="17"/>
  </w:num>
  <w:num w:numId="23">
    <w:abstractNumId w:val="10"/>
  </w:num>
  <w:num w:numId="24">
    <w:abstractNumId w:val="15"/>
  </w:num>
  <w:num w:numId="25">
    <w:abstractNumId w:val="21"/>
  </w:num>
  <w:num w:numId="26">
    <w:abstractNumId w:val="18"/>
  </w:num>
  <w:num w:numId="27">
    <w:abstractNumId w:val="12"/>
  </w:num>
  <w:num w:numId="28">
    <w:abstractNumId w:val="20"/>
  </w:num>
  <w:num w:numId="29">
    <w:abstractNumId w:val="11"/>
  </w:num>
  <w:num w:numId="30">
    <w:abstractNumId w:val="13"/>
  </w:num>
  <w:num w:numId="31">
    <w:abstractNumId w:val="9"/>
  </w:num>
  <w:num w:numId="32">
    <w:abstractNumId w:val="19"/>
  </w:num>
  <w:num w:numId="33">
    <w:abstractNumId w:val="8"/>
  </w:num>
  <w:num w:numId="34">
    <w:abstractNumId w:val="14"/>
  </w:num>
  <w:num w:numId="35">
    <w:abstractNumId w:val="16"/>
  </w:num>
  <w:num w:numId="36">
    <w:abstractNumId w:val="17"/>
  </w:num>
  <w:num w:numId="37">
    <w:abstractNumId w:val="10"/>
  </w:num>
  <w:num w:numId="38">
    <w:abstractNumId w:val="15"/>
  </w:num>
  <w:num w:numId="39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3-07 16:00:26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E2127C2D-DA27-4A1A-9DDF-0DE48DA8B208"/>
    <w:docVar w:name="LW_COVERPAGE_TYPE" w:val="1"/>
    <w:docVar w:name="LW_CROSSREFERENCE" w:val="&lt;UNUSED&gt;"/>
    <w:docVar w:name="LW_DocType" w:val="COM"/>
    <w:docVar w:name="LW_EMISSION" w:val="8.3.2019"/>
    <w:docVar w:name="LW_EMISSION_ISODATE" w:val="2019-03-08"/>
    <w:docVar w:name="LW_EMISSION_LOCATION" w:val="BRX"/>
    <w:docVar w:name="LW_EMISSION_PREFIX" w:val="Брюксел, "/>
    <w:docVar w:name="LW_EMISSION_SUFFIX" w:val="&lt;EMPTY&gt;"/>
    <w:docVar w:name="LW_ID_DOCMODEL" w:val="SJ-043"/>
    <w:docVar w:name="LW_ID_DOCSIGNATURE" w:val="SJ-019"/>
    <w:docVar w:name="LW_ID_DOCSTRUCTURE" w:val="COM/PL/ORG"/>
    <w:docVar w:name="LW_ID_DOCTYPE" w:val="SJ-043"/>
    <w:docVar w:name="LW_ID_EXP.MOTIFS.NEW" w:val="EM_PL2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61"/>
    <w:docVar w:name="LW_REF.II.NEW.CP_YEAR" w:val="2019"/>
    <w:docVar w:name="LW_REF.INST.NEW" w:val="COM"/>
    <w:docVar w:name="LW_REF.INST.NEW_ADOPTED" w:val="final"/>
    <w:docVar w:name="LW_REF.INST.NEW_TEXT" w:val="(2019) 11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2?\u1077?\u1078?\u1076?\u1091?\u1085?\u1072?\u1088?\u1086?\u1076?\u1085?\u1072?\u1090?\u1072? \u1082?\u1086?\u1084?\u1080?\u1089?\u1080?\u1103? \u1079?\u1072? \u1086?\u1087?\u1072?\u1079?\u1074?\u1072?\u1085?\u1077? \u1085?\u1072? \u1088?\u1080?\u1073?\u1072?\u1090?\u1072? \u1090?\u1086?\u1085? \u1074? \u1040?\u1090?\u1083?\u1072?\u1085?\u1090?\u1080?\u1095?\u1077?\u1089?\u1082?\u1080?\u1103? \u1086?\u1082?\u1077?\u1072?\u1085?, \u1080? \u1079?\u1072? \u1086?\u1090?\u1084?\u1103?\u1085?\u1072? \u1085?\u1072? \u1056?\u1077?\u1096?\u1077?\u1085?\u1080?\u1077? 10974/1/14 REV 1"/>
    <w:docVar w:name="LW_TYPE.DOC.CP" w:val="\u1056?\u1045?\u1064?\u1045?\u1053?\u1048?\u1045? \u1053?\u1040? \u1057?\u1066?\u1042?\u1045?\u1058?\u1040?"/>
    <w:docVar w:name="Stamp" w:val="\\dossiers.dgt.cec.eu.int\dossiers\MARE\MARE-2018-00541\MARE-2018-00541-00-02-EN-EDT-00.201812061711233296031.DOCX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0566E-A634-49E5-8C12-80071789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4</TotalTime>
  <Pages>9</Pages>
  <Words>2156</Words>
  <Characters>11993</Characters>
  <Application>Microsoft Office Word</Application>
  <DocSecurity>0</DocSecurity>
  <Lines>230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WES PDFC Administrator</cp:lastModifiedBy>
  <cp:revision>18</cp:revision>
  <dcterms:created xsi:type="dcterms:W3CDTF">2019-02-15T09:43:00Z</dcterms:created>
  <dcterms:modified xsi:type="dcterms:W3CDTF">2019-03-07T15:00:00Z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SJ-043</vt:lpwstr>
  </property>
  <property fmtid="{D5CDD505-2E9C-101B-9397-08002B2CF9AE}" pid="10" name="DQCStatus">
    <vt:lpwstr>Green (DQC version 03)</vt:lpwstr>
  </property>
</Properties>
</file>