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4738911B-45D8-4BEA-B2C1-0ED9977D2CAA" style="width:450.75pt;height:384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 xml:space="preserve">ПРИЛОЖЕНИЕ </w:t>
      </w:r>
    </w:p>
    <w:p>
      <w:pPr>
        <w:spacing w:before="0" w:after="240"/>
        <w:rPr>
          <w:rFonts w:eastAsia="Times New Roman"/>
          <w:iCs/>
          <w:noProof/>
          <w:szCs w:val="20"/>
        </w:rPr>
      </w:pPr>
      <w:r>
        <w:rPr>
          <w:noProof/>
        </w:rPr>
        <w:t>Съюзът следва да припомни първоначалната си позиция в подкрепа на отхвърленото съвместно предложение на СЗО/СМО за групиране на новите тютюневи изделия със загряване с другите тютюневи изделия в позиция 24.03 и за обективното им определяне въз основа на начина им на потребление, който включва процес на загряване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– това е най-добрата възможност.</w:t>
      </w:r>
    </w:p>
    <w:p>
      <w:pPr>
        <w:spacing w:before="0" w:after="240"/>
        <w:rPr>
          <w:rFonts w:eastAsia="Times New Roman"/>
          <w:iCs/>
          <w:noProof/>
          <w:szCs w:val="20"/>
        </w:rPr>
      </w:pPr>
      <w:r>
        <w:rPr>
          <w:noProof/>
        </w:rPr>
        <w:t>ЕС напомня за Рамковата конвенция за контрол на тютюна на СЗО – по която ЕС и всички държави членки са пълноправен член – и взетото от страните по нея решение FCTC/COP8(22) за новите и възникващите тютюневи изделия.  ЕС напомня, че в момента страните по Рамковата конвенция за контрол на тютюна на СЗО работят и по естеството на емисиите от новите тютюневи изделия и че във връзка с тези промени може да се наложи да се вземат мерки на по-късен етап – в рамките на цикъла на изменение на ХС от 2027 г. – ако има нови данни от значение за оценяването на обективните характеристики и свойства на тези изделия за митнически цели.</w:t>
      </w:r>
    </w:p>
    <w:p>
      <w:pPr>
        <w:spacing w:before="0" w:after="240"/>
        <w:rPr>
          <w:rFonts w:eastAsia="Times New Roman"/>
          <w:iCs/>
          <w:noProof/>
          <w:szCs w:val="20"/>
        </w:rPr>
      </w:pPr>
      <w:r>
        <w:rPr>
          <w:noProof/>
        </w:rPr>
        <w:t xml:space="preserve">ЕС следва обаче да признае, че работата в рамките на цикъла на изменение на ХС от 2022 г. се е насочила в различна посока спрямо предложението на СМО/СЗО. С оглед на горепосоченото и за да не блокира процеса на вземане на решения, ЕС: </w:t>
      </w:r>
    </w:p>
    <w:p>
      <w:pPr>
        <w:spacing w:before="0" w:after="240"/>
        <w:ind w:left="720" w:hanging="720"/>
        <w:rPr>
          <w:rFonts w:eastAsia="Times New Roman"/>
          <w:noProof/>
          <w:szCs w:val="20"/>
        </w:rPr>
      </w:pPr>
      <w:r>
        <w:rPr>
          <w:noProof/>
        </w:rPr>
        <w:t>-</w:t>
      </w:r>
      <w:r>
        <w:rPr>
          <w:noProof/>
        </w:rPr>
        <w:tab/>
        <w:t xml:space="preserve">следвайки мнозинството от договарящите страни по Конвенцията за ХС, </w:t>
      </w:r>
      <w:r>
        <w:rPr>
          <w:b/>
          <w:noProof/>
          <w:u w:val="single"/>
        </w:rPr>
        <w:t>може да приеме проекта на изменение</w:t>
      </w:r>
      <w:r>
        <w:rPr>
          <w:noProof/>
        </w:rPr>
        <w:t xml:space="preserve">, произтичащ от работата на Подкомитета по измененията на ХС към СМО, и </w:t>
      </w:r>
    </w:p>
    <w:p>
      <w:pPr>
        <w:spacing w:before="0" w:after="240"/>
        <w:ind w:left="720" w:hanging="720"/>
        <w:rPr>
          <w:rFonts w:eastAsia="Times New Roman"/>
          <w:strike/>
          <w:noProof/>
          <w:szCs w:val="20"/>
        </w:rPr>
      </w:pPr>
      <w:r>
        <w:rPr>
          <w:noProof/>
        </w:rPr>
        <w:t>-</w:t>
      </w:r>
      <w:r>
        <w:rPr>
          <w:noProof/>
        </w:rPr>
        <w:tab/>
        <w:t>следва да изрази позицията си по избора на текста в скоби в двата случая, по които предстои вземане на решение:</w:t>
      </w:r>
      <w:r>
        <w:rPr>
          <w:strike/>
          <w:noProof/>
        </w:rPr>
        <w:t xml:space="preserve"> </w:t>
      </w:r>
    </w:p>
    <w:p>
      <w:pPr>
        <w:pStyle w:val="Point0number"/>
        <w:numPr>
          <w:ilvl w:val="0"/>
          <w:numId w:val="2"/>
        </w:numPr>
        <w:rPr>
          <w:noProof/>
        </w:rPr>
      </w:pPr>
      <w:r>
        <w:rPr>
          <w:noProof/>
        </w:rPr>
        <w:t xml:space="preserve">Новата бележка 2 към глава 24: </w:t>
      </w:r>
      <w:r>
        <w:rPr>
          <w:b/>
          <w:noProof/>
        </w:rPr>
        <w:t>Съюзът следва да подкрепи първия вариант</w:t>
      </w:r>
      <w:r>
        <w:rPr>
          <w:noProof/>
        </w:rPr>
        <w:t>: „2. – Позиция 24.04 не обхваща изделията, определени в позиции 24.02 и 24.03“. Съюзът следва да не подкрепя даването на предимство на позиция 24.04</w:t>
      </w:r>
      <w:r>
        <w:rPr>
          <w:rStyle w:val="FootnoteReference"/>
          <w:noProof/>
        </w:rPr>
        <w:footnoteReference w:id="2"/>
      </w:r>
      <w:r>
        <w:rPr>
          <w:noProof/>
        </w:rPr>
        <w:t xml:space="preserve"> за класирането на новите тютюневи изделия. По-подходящо е обхватът на тази позиция да бъде ограничен до изделията, които еднозначно се класират в нея, така че тютюневите изделия, които може да се класират в тази позиция, но и в друга позиция от глава 24 (24.02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или 24.03</w:t>
      </w:r>
      <w:r>
        <w:rPr>
          <w:rStyle w:val="FootnoteReference"/>
          <w:noProof/>
        </w:rPr>
        <w:footnoteReference w:id="4"/>
      </w:r>
      <w:r>
        <w:rPr>
          <w:noProof/>
        </w:rPr>
        <w:t>), да бъдат пренасочвани към другите позиции.</w:t>
      </w:r>
    </w:p>
    <w:p>
      <w:pPr>
        <w:pStyle w:val="Point0number"/>
        <w:tabs>
          <w:tab w:val="clear" w:pos="850"/>
          <w:tab w:val="num" w:pos="709"/>
        </w:tabs>
        <w:ind w:left="709" w:hanging="709"/>
        <w:rPr>
          <w:noProof/>
        </w:rPr>
      </w:pPr>
      <w:r>
        <w:rPr>
          <w:noProof/>
        </w:rPr>
        <w:t xml:space="preserve">Новата бележка 3 към глава 24: </w:t>
      </w:r>
      <w:r>
        <w:rPr>
          <w:b/>
          <w:noProof/>
        </w:rPr>
        <w:t>Съюзът следва да не подкрепя включването на текста</w:t>
      </w:r>
      <w:r>
        <w:rPr>
          <w:noProof/>
        </w:rPr>
        <w:t xml:space="preserve"> „независимо дали се произвежда дим“. Споменаването на дима може да създаде объркване във връзка с различието между изделията от позиции 24.02 (и 24.03) и 24.04, защото първоначалната цел на създаването на новата позиция 24.04 е тя да обхване изделията, които не се пушат по обичайния начин. 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Документ WCO NC2513B1a (приложение).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Новата позиция 24.04 следва да обхваща: „Изделия, съдържащи тютюн, възстановен тютюн, никотин или заместители на тютюна или никотина, предназначени за вдишване без горене;  други съдържащи никотин изделия, предназначени за въвеждане на никотин в човешкото тяло“.</w:t>
      </w: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Позиция 24.02 обхваща: „Пури (включително тези с отрязани краища), пурети и цигари от тютюн или от заместители на тютюна“.</w:t>
      </w:r>
    </w:p>
  </w:footnote>
  <w:footnote w:id="4">
    <w:p>
      <w:pPr>
        <w:pStyle w:val="FootnoteText"/>
      </w:pPr>
      <w:r>
        <w:rPr>
          <w:rStyle w:val="FootnoteReference"/>
        </w:rPr>
        <w:footnoteRef/>
      </w:r>
      <w:r>
        <w:tab/>
        <w:t>Позиция 24.03 обхваща: „Други видове тютюн и заместители на тютюна, обработени; „хомогенизирани“ или „възстановени“ тютюни; тютюневи екстракти и сокове“.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CA21ED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B0404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0E6AB2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C598FC0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DB9A364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48B6FE4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9"/>
    <w:multiLevelType w:val="singleLevel"/>
    <w:tmpl w:val="F01ABF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2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3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4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5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6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7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0">
    <w:nsid w:val="71F06166"/>
    <w:multiLevelType w:val="multilevel"/>
    <w:tmpl w:val="C08066D2"/>
    <w:name w:val="0.6719891"/>
    <w:lvl w:ilvl="0">
      <w:start w:val="1"/>
      <w:numFmt w:val="decimal"/>
      <w:lvlRestart w:val="0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 w:cs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0"/>
  </w:num>
  <w:num w:numId="14">
    <w:abstractNumId w:val="12"/>
  </w:num>
  <w:num w:numId="15">
    <w:abstractNumId w:val="8"/>
  </w:num>
  <w:num w:numId="16">
    <w:abstractNumId w:val="18"/>
  </w:num>
  <w:num w:numId="17">
    <w:abstractNumId w:val="7"/>
  </w:num>
  <w:num w:numId="18">
    <w:abstractNumId w:val="13"/>
  </w:num>
  <w:num w:numId="19">
    <w:abstractNumId w:val="15"/>
  </w:num>
  <w:num w:numId="20">
    <w:abstractNumId w:val="16"/>
  </w:num>
  <w:num w:numId="21">
    <w:abstractNumId w:val="9"/>
  </w:num>
  <w:num w:numId="22">
    <w:abstractNumId w:val="14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fr-BE" w:vendorID="64" w:dllVersion="131078" w:nlCheck="1" w:checkStyle="0"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3-11 10:12:5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4738911B-45D8-4BEA-B2C1-0ED9977D2CAA"/>
    <w:docVar w:name="LW_COVERPAGE_TYPE" w:val="1"/>
    <w:docVar w:name="LW_CROSSREFERENCE" w:val="&lt;UNUSED&gt;"/>
    <w:docVar w:name="LW_DocType" w:val="ANNEX"/>
    <w:docVar w:name="LW_EMISSION" w:val="1.3.2019"/>
    <w:docVar w:name="LW_EMISSION_ISODATE" w:val="2019-03-01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74?\u1077?\u1090?\u1086?\u1074?\u1085?\u1072?\u1090?\u1072? \u1084?\u1080?\u1090?\u1085?\u1080?\u1095?\u1077?\u1089?\u1082?\u1072? \u1086?\u1088?\u1075?\u1072?\u1085?\u1080?\u1079?\u1072?\u1094?\u1080?\u1103? \u1074?\u1098?\u1074? \u1074?\u1088?\u1098?\u1079?\u1082?\u1072? \u1089? \u1061?\u1072?\u1088?\u1084?\u1086?\u1085?\u1080?\u1079?\u1080?\u1088?\u1072?\u1085?\u1072?\u1090?\u1072? \u1089?\u1080?\u1089?\u1090?\u1077?\u1084?\u1072?"/>
    <w:docVar w:name="LW_OBJETACTEPRINCIPAL.CP" w:val="\u1079?\u1072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7?\u1074?\u1077?\u1090?\u1086?\u1074?\u1085?\u1072?\u1090?\u1072? \u1084?\u1080?\u1090?\u1085?\u1080?\u1095?\u1077?\u1089?\u1082?\u1072? \u1086?\u1088?\u1075?\u1072?\u1085?\u1080?\u1079?\u1072?\u1094?\u1080?\u1103? \u1074?\u1098?\u1074? \u1074?\u1088?\u1098?\u1079?\u1082?\u1072? \u1089? \u1061?\u1072?\u1088?\u1084?\u1086?\u1085?\u1080?\u1079?\u1080?\u1088?\u1072?\u1085?\u1072?\u1090?\u1072? \u1089?\u1080?\u1089?\u1090?\u1077?\u1084?\u1072?"/>
    <w:docVar w:name="LW_PART_NBR" w:val="1"/>
    <w:docVar w:name="LW_PART_NBR_TOTAL" w:val="1"/>
    <w:docVar w:name="LW_REF.INST.NEW" w:val="COM"/>
    <w:docVar w:name="LW_REF.INST.NEW_ADOPTED" w:val="final"/>
    <w:docVar w:name="LW_REF.INST.NEW_TEXT" w:val="(2019) 12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76?\u1083?\u1086?\u1078?\u1077?\u1085?\u1080?\u1077?\u1090?\u1086? \u1079?\u1072? \u1056?\u1077?\u1096?\u1077?\u1085?\u1080?\u1077? \u1085?\u1072? \u1057?\u1098?\u1074?\u1077?\u1090?\u1072?"/>
    <w:docVar w:name="LW_TYPEACTEPRINCIPAL.CP" w:val="\u1055?\u1088?\u1077?\u1076?\u1083?\u1086?\u1078?\u1077?\u1085?\u1080?\u1077?\u1090?\u1086? \u1079?\u1072? 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1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1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1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1"/>
      </w:numPr>
    </w:pPr>
    <w:rPr>
      <w:rFonts w:eastAsia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pPr>
      <w:numPr>
        <w:numId w:val="1"/>
      </w:numPr>
    </w:pPr>
    <w:rPr>
      <w:rFonts w:eastAsia="Times New Roman"/>
    </w:rPr>
  </w:style>
  <w:style w:type="paragraph" w:customStyle="1" w:styleId="ListNumberLevel2">
    <w:name w:val="List Number (Level 2)"/>
    <w:basedOn w:val="Normal"/>
    <w:pPr>
      <w:numPr>
        <w:ilvl w:val="1"/>
        <w:numId w:val="1"/>
      </w:numPr>
    </w:pPr>
    <w:rPr>
      <w:rFonts w:eastAsia="Times New Roman"/>
    </w:rPr>
  </w:style>
  <w:style w:type="paragraph" w:customStyle="1" w:styleId="ListNumberLevel3">
    <w:name w:val="List Number (Level 3)"/>
    <w:basedOn w:val="Normal"/>
    <w:pPr>
      <w:numPr>
        <w:ilvl w:val="2"/>
        <w:numId w:val="1"/>
      </w:numPr>
    </w:pPr>
    <w:rPr>
      <w:rFonts w:eastAsia="Times New Roman"/>
    </w:rPr>
  </w:style>
  <w:style w:type="paragraph" w:customStyle="1" w:styleId="ListNumberLevel4">
    <w:name w:val="List Number (Level 4)"/>
    <w:basedOn w:val="Normal"/>
    <w:pPr>
      <w:numPr>
        <w:ilvl w:val="3"/>
        <w:numId w:val="1"/>
      </w:numPr>
    </w:pPr>
    <w:rPr>
      <w:rFonts w:eastAsia="Times New Roman"/>
    </w:rPr>
  </w:style>
  <w:style w:type="character" w:styleId="Hyperlink">
    <w:name w:val="Hyperlink"/>
    <w:uiPriority w:val="99"/>
    <w:rPr>
      <w:color w:val="0000FF"/>
      <w:u w:val="single"/>
    </w:rPr>
  </w:style>
  <w:style w:type="character" w:styleId="CommentReference">
    <w:name w:val="annotation referenc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Times New Roman" w:eastAsia="Times New Roman" w:hAnsi="Times New Roman" w:cs="Times New Roman"/>
      <w:sz w:val="20"/>
      <w:szCs w:val="20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rFonts w:eastAsia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B6F898-13C6-4C3F-B325-393D0C534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2</Pages>
  <Words>403</Words>
  <Characters>2030</Characters>
  <Application>Microsoft Office Word</Application>
  <DocSecurity>0</DocSecurity>
  <Lines>37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GATTEGNO Valerie (TAXUD)</dc:creator>
  <cp:lastModifiedBy>DIGIT/C6</cp:lastModifiedBy>
  <cp:revision>8</cp:revision>
  <cp:lastPrinted>2019-02-22T15:46:00Z</cp:lastPrinted>
  <dcterms:created xsi:type="dcterms:W3CDTF">2019-03-08T10:46:00Z</dcterms:created>
  <dcterms:modified xsi:type="dcterms:W3CDTF">2019-03-11T09:12:00Z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