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33FBB89-33B9-4110-B9C4-E353D88614EF" style="width:450.75pt;height:352.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Съвета на Световната митническа организация във връзка с предвиденото приемане на изменение на Номенклатурата на Хармонизираната система за новите тютюневи изделия</w:t>
      </w:r>
      <w:r>
        <w:rPr>
          <w:rStyle w:val="FootnoteReference"/>
          <w:noProof/>
        </w:rPr>
        <w:footnoteReference w:id="1"/>
      </w:r>
      <w:r>
        <w:rPr>
          <w:noProof/>
        </w:rPr>
        <w:t>.</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Международната конвенция по Хармонизираната система за описание и кодиране на стоките</w:t>
      </w:r>
    </w:p>
    <w:p>
      <w:pPr>
        <w:rPr>
          <w:rFonts w:eastAsia="Arial Unicode MS"/>
          <w:noProof/>
        </w:rPr>
      </w:pPr>
      <w:r>
        <w:rPr>
          <w:noProof/>
        </w:rPr>
        <w:t>Международната конвенция по Хармонизираната система за описание и кодиране на стоките (наричана по-нататък „Конвенцията“) има за цел улесняване на международната търговия и събирането, сравняването и анализирането на статистически данни, особено за международната търговия. Като приложение към Конвенцията е установена Номенклатурата на Хармонизираната система (ХС), която представлява международна хармонизирана система, осигуряваща възможност на участващите държави да класифицират (класират) търгуваните стоки по общ начин за търговски цели. По-конкретно, Номенклатурата на ХС включва описанието на стоките, представени като позиции и подпозиции, и съответстващите им числови кодове, съставени въз основа на 6-цифрова кодова система. Номенклатурата на ХС се изменя веднъж на всеки пет години</w:t>
      </w:r>
      <w:r>
        <w:rPr>
          <w:rStyle w:val="FootnoteReference"/>
          <w:noProof/>
        </w:rPr>
        <w:footnoteReference w:id="2"/>
      </w:r>
      <w:r>
        <w:rPr>
          <w:noProof/>
        </w:rPr>
        <w:t xml:space="preserve">. Тя се прилага от над 190 администрации по целия свят; вследствие на това над 98 % от всички стоки, търгувани в света, се класират в съответствие с нея. </w:t>
      </w:r>
    </w:p>
    <w:p>
      <w:pPr>
        <w:rPr>
          <w:rFonts w:eastAsia="Arial Unicode MS"/>
          <w:noProof/>
        </w:rPr>
      </w:pPr>
      <w:r>
        <w:rPr>
          <w:noProof/>
        </w:rPr>
        <w:t>Конвенцията влезе в сила на 1 януари 1988 г.</w:t>
      </w:r>
    </w:p>
    <w:p>
      <w:pPr>
        <w:rPr>
          <w:rFonts w:eastAsia="Arial Unicode MS"/>
          <w:noProof/>
        </w:rPr>
      </w:pPr>
      <w:r>
        <w:rPr>
          <w:noProof/>
        </w:rPr>
        <w:t>Европейският съюз и всички държави членки са страни по Конвенцията</w:t>
      </w:r>
      <w:r>
        <w:rPr>
          <w:rStyle w:val="FootnoteReference"/>
          <w:noProof/>
        </w:rPr>
        <w:footnoteReference w:id="3"/>
      </w:r>
      <w:r>
        <w:rPr>
          <w:noProof/>
        </w:rPr>
        <w:t>.</w:t>
      </w:r>
    </w:p>
    <w:p>
      <w:pPr>
        <w:pStyle w:val="ManualHeading2"/>
        <w:rPr>
          <w:noProof/>
        </w:rPr>
      </w:pPr>
      <w:r>
        <w:t>2.2.</w:t>
      </w:r>
      <w:r>
        <w:tab/>
      </w:r>
      <w:r>
        <w:rPr>
          <w:noProof/>
        </w:rPr>
        <w:t>Световната митническа организация (СМО)</w:t>
      </w:r>
    </w:p>
    <w:p>
      <w:pPr>
        <w:rPr>
          <w:rFonts w:eastAsia="Arial Unicode MS"/>
          <w:noProof/>
        </w:rPr>
      </w:pPr>
      <w:r>
        <w:rPr>
          <w:noProof/>
        </w:rPr>
        <w:t>Световната митническа организация (СМО), създадена през 1952 г. като Съвет за митническо сътрудничество, е независима междуправителствена организация, чиято задача е повишаване на ефективността и ефикасността на митническите администрации. СМО предлага на членовете си редица конвенции и други международни актове, както и услуги за техническа помощ и обучение. Днес в СМО са представени 182 митнически администрации от целия свят.</w:t>
      </w:r>
    </w:p>
    <w:p>
      <w:pPr>
        <w:rPr>
          <w:rFonts w:eastAsia="Arial Unicode MS"/>
          <w:noProof/>
        </w:rPr>
      </w:pPr>
      <w:r>
        <w:rPr>
          <w:noProof/>
        </w:rPr>
        <w:t xml:space="preserve">Управителното тяло на СМО е Съветът, който за изпълнението на задачите си разчита на компетентностите и уменията на служителите на Секретариата и различни технически и консултативни комитети. </w:t>
      </w:r>
    </w:p>
    <w:p>
      <w:pPr>
        <w:rPr>
          <w:rFonts w:eastAsiaTheme="majorEastAsia"/>
          <w:bCs/>
          <w:noProof/>
          <w:szCs w:val="26"/>
        </w:rPr>
      </w:pPr>
      <w:r>
        <w:rPr>
          <w:noProof/>
        </w:rPr>
        <w:t>Техническият комитет в СМО, който отговаря за подготвителната работа във връзка с Конвенцията, е Комитетът по ХС. Главните задачи на Комитета по ХС са следните:</w:t>
      </w:r>
    </w:p>
    <w:p>
      <w:pPr>
        <w:pStyle w:val="Bullet0"/>
        <w:numPr>
          <w:ilvl w:val="0"/>
          <w:numId w:val="18"/>
        </w:numPr>
        <w:rPr>
          <w:noProof/>
        </w:rPr>
      </w:pPr>
      <w:r>
        <w:rPr>
          <w:noProof/>
        </w:rPr>
        <w:t xml:space="preserve">да осигурява еднакво тълкуване и прилагане на правните текстове във връзка с ХС, в т.ч. уреждайки споровете по класирането между договарящите страни, улеснявайки по този начин търговията; </w:t>
      </w:r>
    </w:p>
    <w:p>
      <w:pPr>
        <w:pStyle w:val="Bullet0"/>
        <w:rPr>
          <w:noProof/>
        </w:rPr>
      </w:pPr>
      <w:r>
        <w:rPr>
          <w:noProof/>
        </w:rPr>
        <w:t xml:space="preserve">да предлага изменения и обновявания на ХС, за да бъдат отразявани техническото развитие и промените в търговските схеми, както и други потребности на ползвателите на ХС; </w:t>
      </w:r>
    </w:p>
    <w:p>
      <w:pPr>
        <w:pStyle w:val="Bullet0"/>
        <w:rPr>
          <w:noProof/>
        </w:rPr>
      </w:pPr>
      <w:r>
        <w:rPr>
          <w:noProof/>
        </w:rPr>
        <w:t>да насърчава разпространяването на прилагането на ХС и да разглежда общи и политически въпроси, свързани с нея.</w:t>
      </w:r>
    </w:p>
    <w:p>
      <w:pPr>
        <w:ind w:left="720"/>
        <w:contextualSpacing/>
        <w:rPr>
          <w:rFonts w:eastAsiaTheme="majorEastAsia"/>
          <w:bCs/>
          <w:noProof/>
          <w:szCs w:val="26"/>
        </w:rPr>
      </w:pPr>
    </w:p>
    <w:p>
      <w:pPr>
        <w:rPr>
          <w:rFonts w:eastAsiaTheme="majorEastAsia"/>
          <w:bCs/>
          <w:noProof/>
          <w:szCs w:val="26"/>
        </w:rPr>
      </w:pPr>
      <w:r>
        <w:rPr>
          <w:noProof/>
        </w:rPr>
        <w:t>Съветът на СМО разглежда предложения за изменения на Конвенцията, съставени от Комитета по ХС, и може да ги препоръча на договарящите страни. Измененията, препоръчани от Съвета на СМО, се смятат за приети, ако никоя от договарящите страни не е представила възражение в срок от шест месеца от изпращането на уведомление до тях.</w:t>
      </w:r>
    </w:p>
    <w:p>
      <w:pPr>
        <w:rPr>
          <w:rFonts w:eastAsiaTheme="majorEastAsia"/>
          <w:bCs/>
          <w:noProof/>
          <w:szCs w:val="26"/>
        </w:rPr>
      </w:pPr>
      <w:r>
        <w:rPr>
          <w:noProof/>
        </w:rPr>
        <w:t>Позициите, които трябва да се заемат от Съюза в рамките на СМО по въпроси във връзка с ХС, се съгласуват с държавите членки. Съюзът и неговите държави членки заедно имат само един глас в Съвета на СМО.</w:t>
      </w:r>
    </w:p>
    <w:p>
      <w:pPr>
        <w:pStyle w:val="ManualHeading2"/>
        <w:rPr>
          <w:noProof/>
        </w:rPr>
      </w:pPr>
      <w:r>
        <w:t>2.3.</w:t>
      </w:r>
      <w:r>
        <w:tab/>
      </w:r>
      <w:r>
        <w:rPr>
          <w:noProof/>
        </w:rPr>
        <w:t>Предвиденият акт на Съвета на СМО</w:t>
      </w:r>
    </w:p>
    <w:p>
      <w:pPr>
        <w:rPr>
          <w:rFonts w:eastAsia="Arial Unicode MS"/>
          <w:noProof/>
        </w:rPr>
      </w:pPr>
      <w:r>
        <w:rPr>
          <w:noProof/>
        </w:rPr>
        <w:t xml:space="preserve">На 27 – 29 юни 2019 г. Съветът на СМО трябва да приеме препоръка за изменения на Номенклатурата на ХС по член 16 от Конвенцията за ХС. Наред с другото ще бъде включено и изменение, отнасящо се до някои нови тютюневи изделия (наричано по-нататък „предвиденият акт“). </w:t>
      </w:r>
    </w:p>
    <w:p>
      <w:pPr>
        <w:rPr>
          <w:rFonts w:eastAsia="Arial Unicode MS"/>
          <w:noProof/>
        </w:rPr>
      </w:pPr>
      <w:r>
        <w:rPr>
          <w:noProof/>
        </w:rPr>
        <w:t>За да подготви препоръката, по време на шестдесет и третото си заседание на 19 – 29 март 2019 г. Комитетът по ХС трябва да състави проект на предложение за изменение на Номенклатурата на ХС по отношение на тези изделия. Това изменение трябва да бъде включено в проект на препоръка към Съвета на СМО, в която се събират всички предложени изменения на приложението към Конвенцията (приетите на заседанието през март и приетите на предишните заседания на Комитета по ХС) за одобряване от Съвета на СМО на заседанието му през юни. Изменената Номенклатура на ХС ще влезе в сила през 2022 г.</w:t>
      </w:r>
    </w:p>
    <w:p>
      <w:pPr>
        <w:rPr>
          <w:rFonts w:eastAsia="Arial Unicode MS"/>
          <w:noProof/>
        </w:rPr>
      </w:pPr>
      <w:r>
        <w:rPr>
          <w:noProof/>
        </w:rPr>
        <w:t>Въпросният проект на изменение е резултат от работата на Подкомитета по измененията на ХС към СМО (наричан по-нататък „ПИХС“). ПИХС обсъди предложението на 55-ото си заседание, проведено през ноември 2018 г. Тогава ЕС не можа да изрази позиция. Резултатът от работата на ПИХС е представен на Комитета по ХС, който ще завърши проекта на предложеното изменение по отношение на частите, оставащи за обсъждане.</w:t>
      </w:r>
    </w:p>
    <w:p>
      <w:pPr>
        <w:rPr>
          <w:rFonts w:eastAsia="Arial Unicode MS"/>
          <w:noProof/>
        </w:rPr>
      </w:pPr>
      <w:r>
        <w:rPr>
          <w:noProof/>
        </w:rPr>
        <w:t>Предназначението на предвидения акт е да се измени структурата на Номенклатурата на ХС с цел класиране на новите тютюневи изделия, при които вдишването се осигурява чрез загряване на тютюна или други средства, в нова позиция 24.04 „Изделия, съдържащи тютюн, възстановен тютюн, никотин или заместители на тютюна или никотина, предназначени за вдишване без горене; други съдържащи никотин изделия, предназначени за въвеждане на никотин в човешкото тяло“.</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Предложената позиция се състои в изразяване на подкрепа за проекта на изменение на Номенклатурата на ХС по отношение на новите тютюневи изделия. Тя има за цел и да се изрази предпочитание по отношение на определени текстове, които да бъдат включени в допълнителните бележки към Номенклатурата на ХС – понастоящем те са оставени в скоби в проекта на изменение, тъй като вземането на решение предстои.</w:t>
      </w:r>
    </w:p>
    <w:p>
      <w:pPr>
        <w:rPr>
          <w:noProof/>
        </w:rPr>
      </w:pPr>
      <w:r>
        <w:rPr>
          <w:noProof/>
        </w:rPr>
        <w:t>Съгласно сегашната Номенклатура на ХС повечето от договарящите страни, в т.ч. Европейският съюз, предпочитат да класират някои нови тютюневи изделия в подпозиция по ХС 2403.99 като „други видове обработен тютюн“. Понастоящем няма завършено решение на СМО за класирането на тези изделия.</w:t>
      </w:r>
    </w:p>
    <w:p>
      <w:pPr>
        <w:rPr>
          <w:noProof/>
        </w:rPr>
      </w:pPr>
      <w:r>
        <w:rPr>
          <w:noProof/>
        </w:rPr>
        <w:t>За ЕС е важно тези нови тютюневи изделия да бъдат установени в отделна позиция в изменената Номенклатура на ХС, която ще влезе в сила през 2022 г., така че класирането им да бъде улеснено. Важно е също така да бъдат изразени някои предпочитания за избора на текстове, които да бъдат включени в новите бележки към глава 24, за да бъде изяснена разграничителната линия между различните позиции в тази глава. Бяха взети предвид забележките и предложенията на Секретариата на СМО в документ NC2591E1a (HSC/63).</w:t>
      </w:r>
    </w:p>
    <w:p>
      <w:pPr>
        <w:rPr>
          <w:noProof/>
        </w:rPr>
      </w:pPr>
      <w:r>
        <w:rPr>
          <w:noProof/>
        </w:rPr>
        <w:t>Затова предложената позиция е следната:</w:t>
      </w:r>
    </w:p>
    <w:p>
      <w:pPr>
        <w:pStyle w:val="Tiret0"/>
        <w:numPr>
          <w:ilvl w:val="0"/>
          <w:numId w:val="19"/>
        </w:numPr>
        <w:rPr>
          <w:noProof/>
        </w:rPr>
      </w:pPr>
      <w:r>
        <w:rPr>
          <w:noProof/>
        </w:rPr>
        <w:t>По въпроса за класирането на новите тютюневи изделия Съюзът следва да припомни първоначалната си позиция, изразена през септември 2018 г., в подкрепа на предложението на СЗО/СМО за групиране на новите тютюневи изделия със загряване с другите тютюневи изделия в позиция 24.03 и за обективното им определяне въз основа на начина им на потребление, който включва процес на загряване – това е предпочитаната възможност, а не определянето въз основа на липсата на процес на горене, което е спорно. Все пак в дух на сътрудничество и след допълнително обсъждане Съюзът вече е готов да приеме варианта, който ще бъде получен в резултат на гласуването на мнозинството в Комитета по ХС на СМО и последващата работа на ПИ на СМО и който се изразява във включването на тези изделия в нова позиция 24.04. В очакване на оценката на свойствата и емисиите на тези изделия, това е следствие от решението за новите и възникващите тютюневи изделия, прието с подкрепата на Съюза на 8-ата конференция на страните по Рамковата конвенция за контрол на тютюна (РККТ) на СЗО</w:t>
      </w:r>
      <w:r>
        <w:rPr>
          <w:rStyle w:val="FootnoteReference"/>
          <w:noProof/>
        </w:rPr>
        <w:footnoteReference w:id="4"/>
      </w:r>
      <w:r>
        <w:rPr>
          <w:noProof/>
        </w:rPr>
        <w:t>.</w:t>
      </w:r>
    </w:p>
    <w:p>
      <w:pPr>
        <w:pStyle w:val="Tiret0"/>
        <w:rPr>
          <w:noProof/>
        </w:rPr>
      </w:pPr>
      <w:r>
        <w:rPr>
          <w:noProof/>
        </w:rPr>
        <w:t>По въпроса за новата бележка 2 към глава 24: Съюзът следва да подкрепи първия вариант: „2. – Позиция 24.04 не обхваща изделията, определени в позиции 24.02 и 24.03</w:t>
      </w:r>
      <w:r>
        <w:rPr>
          <w:rStyle w:val="FootnoteReference"/>
          <w:noProof/>
        </w:rPr>
        <w:footnoteReference w:id="5"/>
      </w:r>
      <w:r>
        <w:rPr>
          <w:noProof/>
        </w:rPr>
        <w:t>“. Обратно на становището на Секретариата на СМО, изразено в гореспоменатия документ, Съюзът следва да не подкрепя даването на предимство на позиция 24.04 за класирането на новите тютюневи изделия. В действителност е по-подходящо обхватът на тази позиция да бъде ограничен до изделията, които еднозначно се класират в нея, така че тютюневите изделия, които може да се класират в тази позиция, но и в друга позиция от глава 24 (24.02 или 24.03), да бъдат пренасочвани към другите позиции.</w:t>
      </w:r>
    </w:p>
    <w:p>
      <w:pPr>
        <w:pStyle w:val="Tiret0"/>
        <w:rPr>
          <w:noProof/>
        </w:rPr>
      </w:pPr>
      <w:r>
        <w:rPr>
          <w:noProof/>
        </w:rPr>
        <w:t>По въпроса за новата бележка 3 към глава 24: Съюзът следва да не подкрепя включването на текста в скоби: „независимо дали се произвежда дим“. Споменаването на дима може да създаде объркване във връзка с различието между изделията от позиции 24.02 (и 24.03) и 24.04, защото първоначалната цел на създаването на новата позиция 24.04 е тя да обхване изделията, които не се пушат по обичайния начин. Все пак свойствата и емисиите на тези изделия са в процес на проучване в контекста на решение за новите и възникващите тютюневи изделия, прието на 8-ата конференция на страните по РККТ на СЗО. Затова се смята за по-подходящо да се изчакат резултатите от това проучване и въпросът да се обсъди отново, когато има нови данни от значение за митническото класиране.</w:t>
      </w:r>
    </w:p>
    <w:p>
      <w:pPr>
        <w:rPr>
          <w:noProof/>
        </w:rPr>
      </w:pPr>
      <w:r>
        <w:rPr>
          <w:noProof/>
        </w:rPr>
        <w:t xml:space="preserve">Предложената позиция на ЕС е съобразена с установената митническа политика и практиката на Съда на Европейския съюз за класиране на стоките при внос според обективните им характеристики и свойства. </w:t>
      </w:r>
    </w:p>
    <w:p>
      <w:pPr>
        <w:rPr>
          <w:noProof/>
        </w:rPr>
      </w:pPr>
      <w:r>
        <w:rPr>
          <w:noProof/>
        </w:rPr>
        <w:t xml:space="preserve">Предложената позиция е необходима, за да може ЕС да изрази позиция на следващото заседание на Съвета на СМО. Същата позиция ще бъде изразена по време на подготвителната работа, по-конкретно на заседанието на Комитета по ХС, с разбирането, че на заседанието на Комитета ЕС ще подкрепи този текст на предложението на Комитета, който е съобразен с мнението на мнозинството от договарящите страни. </w:t>
      </w:r>
    </w:p>
    <w:p>
      <w:pPr>
        <w:pStyle w:val="ManualHeading1"/>
        <w:rPr>
          <w:noProof/>
        </w:rPr>
      </w:pPr>
      <w:r>
        <w:t>4.</w:t>
      </w:r>
      <w:r>
        <w:tab/>
      </w:r>
      <w:r>
        <w:rPr>
          <w:noProof/>
        </w:rPr>
        <w:t>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актове,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6"/>
      </w:r>
      <w:r>
        <w:rPr>
          <w:noProof/>
        </w:rPr>
        <w:t>.</w:t>
      </w:r>
    </w:p>
    <w:p>
      <w:pPr>
        <w:rPr>
          <w:noProof/>
        </w:rPr>
      </w:pPr>
      <w:r>
        <w:rPr>
          <w:noProof/>
        </w:rPr>
        <w:t>Затова процесуалноправното основание на предложеното решение за установяване на позицията, която трябва да се заеме от името на Съюза във връзка с предвидения акт, е член 218, параграф 9 от ДФЕС.</w:t>
      </w:r>
    </w:p>
    <w:p>
      <w:pPr>
        <w:pStyle w:val="ManualHeading3"/>
        <w:rPr>
          <w:noProof/>
        </w:rPr>
      </w:pPr>
      <w:r>
        <w:t>4.1.2.</w:t>
      </w:r>
      <w:r>
        <w:tab/>
      </w:r>
      <w:r>
        <w:rPr>
          <w:noProof/>
        </w:rPr>
        <w:t>Приложение в конкретния случай</w:t>
      </w:r>
    </w:p>
    <w:p>
      <w:pPr>
        <w:rPr>
          <w:noProof/>
        </w:rPr>
      </w:pPr>
      <w:r>
        <w:rPr>
          <w:noProof/>
        </w:rPr>
        <w:t>Съветът на СМО е орган, създаден със споразумение, а именно Конвенцията за създаване на Съвет за митническо сътрудничество от 15 декември 1950 г. Той е органът, който по силата на Международната конвенция по Хармонизираната система за описание и кодиране на стоките отговаря за издаването на препоръки към договарящите страни за изменение на Конвенцията.</w:t>
      </w:r>
    </w:p>
    <w:p>
      <w:pPr>
        <w:rPr>
          <w:noProof/>
        </w:rPr>
      </w:pPr>
      <w:r>
        <w:rPr>
          <w:noProof/>
        </w:rPr>
        <w:t xml:space="preserve">Очаква се Съветът на СМО да препоръча на договарящите страни по Конвенцията за ХС изменение на приложението към Конвенцията (Номенклатурата на ХС) на своето заседание през юни. Тази препоръка ще се смята за приета, ако никоя от договарящите страни не възрази в срок от шест месеца. Когато бъде приета, препоръката ще бъде включена в законодателството на ЕС, а именно: Приложение 1 към Регламент (EИО) № 2658/87 на Съвета относно тарифната и статистическа номенклатура и Общата митническа тарифа. Това се дължи на факта, че член 1, параграф 2,  буква а) от посочения регламент гласи: „2. Комбинираната номенклатура включва: а) номенклатурата на Хармонизираната система;“ </w:t>
      </w:r>
    </w:p>
    <w:p>
      <w:pPr>
        <w:rPr>
          <w:noProof/>
        </w:rPr>
      </w:pPr>
      <w:r>
        <w:rPr>
          <w:noProof/>
        </w:rPr>
        <w:t>Предвиденият акт не допълва, нито изменя институционалната рамка на Конвенцията.</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допълнителна, решението съгласно член 218, параграф 9 от ДФЕС трябва да се основава само на едно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Тъй като главната цел и основното съдържание на предвидения акт са свързани с митническия съюз, материалноправното основание на предложеното решение е член 28, параграф 1 от ДФЕС.</w:t>
      </w:r>
    </w:p>
    <w:p>
      <w:pPr>
        <w:rPr>
          <w:noProof/>
        </w:rPr>
      </w:pPr>
      <w:r>
        <w:rPr>
          <w:noProof/>
        </w:rPr>
        <w:t>4.3. Заключение</w:t>
      </w:r>
    </w:p>
    <w:p>
      <w:pPr>
        <w:rPr>
          <w:noProof/>
        </w:rPr>
      </w:pPr>
      <w:r>
        <w:rPr>
          <w:noProof/>
        </w:rPr>
        <w:t>Правното основание на предложеното решение следва да бъде член 28, параграф 1 от ДФЕС във връзка с член 218, параграф 9 от ДФЕС.</w:t>
      </w:r>
    </w:p>
    <w:p>
      <w:pPr>
        <w:rPr>
          <w:noProof/>
        </w:rPr>
      </w:pPr>
    </w:p>
    <w:p>
      <w:pPr>
        <w:pStyle w:val="ManualHeading1"/>
        <w:rPr>
          <w:noProof/>
        </w:rPr>
      </w:pPr>
      <w:r>
        <w:t>5.</w:t>
      </w:r>
      <w:r>
        <w:tab/>
      </w:r>
      <w:r>
        <w:rPr>
          <w:noProof/>
        </w:rPr>
        <w:t xml:space="preserve">Отражение върху бюджета </w:t>
      </w:r>
    </w:p>
    <w:p>
      <w:pPr>
        <w:rPr>
          <w:noProof/>
        </w:rPr>
      </w:pPr>
      <w:r>
        <w:rPr>
          <w:noProof/>
        </w:rPr>
        <w:t xml:space="preserve">Предложението няма отражение върху бюджета на Европейския съюз. </w:t>
      </w:r>
    </w:p>
    <w:p>
      <w:pPr>
        <w:pStyle w:val="ManualHeading1"/>
        <w:rPr>
          <w:noProof/>
        </w:rPr>
      </w:pPr>
      <w:r>
        <w:t>6.</w:t>
      </w:r>
      <w:r>
        <w:tab/>
      </w:r>
      <w:r>
        <w:rPr>
          <w:noProof/>
        </w:rPr>
        <w:t>Публикуване на предвидения акт</w:t>
      </w:r>
    </w:p>
    <w:p>
      <w:pPr>
        <w:rPr>
          <w:noProof/>
        </w:rPr>
      </w:pPr>
      <w:r>
        <w:rPr>
          <w:noProof/>
        </w:rPr>
        <w:t>Няма</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2019/0069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позицията, която трябва да се заеме от името на Европейския съюз в рамките на Световната митническа организация във връзка с Хармонизираната система</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28,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Международната конвенция по Хармонизираната система за описание и кодиране на стоките (наричана по-нататък „Конвенцията“) бе сключена от Съюза с Решение 87/369/ЕИО на Съвета от 7 април 1987 г.</w:t>
      </w:r>
      <w:r>
        <w:rPr>
          <w:rStyle w:val="FootnoteReference"/>
          <w:noProof/>
        </w:rPr>
        <w:footnoteReference w:id="7"/>
      </w:r>
      <w:r>
        <w:rPr>
          <w:noProof/>
        </w:rPr>
        <w:t xml:space="preserve"> и влезе в сила на 1 януари 1988 г. </w:t>
      </w:r>
    </w:p>
    <w:p>
      <w:pPr>
        <w:pStyle w:val="ManualConsidrant"/>
        <w:rPr>
          <w:noProof/>
        </w:rPr>
      </w:pPr>
      <w:r>
        <w:t>(2)</w:t>
      </w:r>
      <w:r>
        <w:tab/>
      </w:r>
      <w:r>
        <w:rPr>
          <w:noProof/>
        </w:rPr>
        <w:t xml:space="preserve">Съгласно член 7 от Конвенцията Комитетът по Хармонизираната система (ХС) може да подготвя за Съвета на Световната митническа организация (СМО) предложения за изменения на Номенклатурата на ХС. По силата на член 16 от Конвенцията Съветът на СМО може да препоръча тези изменения на договарящите страни.  </w:t>
      </w:r>
    </w:p>
    <w:p>
      <w:pPr>
        <w:pStyle w:val="ManualConsidrant"/>
        <w:rPr>
          <w:noProof/>
        </w:rPr>
      </w:pPr>
      <w:r>
        <w:t>(3)</w:t>
      </w:r>
      <w:r>
        <w:tab/>
      </w:r>
      <w:r>
        <w:rPr>
          <w:noProof/>
        </w:rPr>
        <w:t xml:space="preserve">Очаква се на своето заседание през юни Съветът на СМО да вземе решение по препоръка до договарящите страни за изменение на глава 24 от Номенклатурата на ХС. Тази препоръка ще бъде приета въз основа на предложение за изменение, което е подготвено от Комитета по ХС и което следва да бъде завършено на 63-ото му заседание на 19 – 29 март 2019 г. </w:t>
      </w:r>
    </w:p>
    <w:p>
      <w:pPr>
        <w:pStyle w:val="ManualConsidrant"/>
        <w:rPr>
          <w:noProof/>
        </w:rPr>
      </w:pPr>
      <w:r>
        <w:t>(4)</w:t>
      </w:r>
      <w:r>
        <w:tab/>
      </w:r>
      <w:r>
        <w:rPr>
          <w:noProof/>
        </w:rPr>
        <w:t>На 8-ата конференция на страните по Рамковата конвенция за контрол на тютюна (РККТ) на Световната здравна организация (СЗО) бе прието решение FCTC/COP8(22) за новите и възникващите тютюневи изделия, в което се предвижда събиране на допълнителни научни данни за тези изделия и най-вече изясняване на свойствата и емисиите им.</w:t>
      </w:r>
    </w:p>
    <w:p>
      <w:pPr>
        <w:pStyle w:val="ManualConsidrant"/>
        <w:rPr>
          <w:noProof/>
        </w:rPr>
      </w:pPr>
      <w:r>
        <w:t>(5)</w:t>
      </w:r>
      <w:r>
        <w:tab/>
      </w:r>
      <w:r>
        <w:rPr>
          <w:noProof/>
        </w:rPr>
        <w:t>Важно е да се припомни, че според установената практика на Съда на Европейския съюз с цел обезпечаване на правната сигурност и улесняване на проверките решаващият критерий за класирането на стоките за митнически цели като цяло трябва да се търси в обективните характеристики и свойства, посочени в текстовете към съответните позиции от митническата номенклатура и съответните бележки към разделите и главите.</w:t>
      </w:r>
    </w:p>
    <w:p>
      <w:pPr>
        <w:pStyle w:val="ManualConsidrant"/>
        <w:rPr>
          <w:noProof/>
        </w:rPr>
      </w:pPr>
      <w:r>
        <w:t>(6)</w:t>
      </w:r>
      <w:r>
        <w:tab/>
      </w:r>
      <w:r>
        <w:rPr>
          <w:noProof/>
        </w:rPr>
        <w:t>С оглед на препоръката за изменение на Номенклатурата на ХС, която трябва да бъде приета от Съвета на СМО, е целесъобразно да се установи позицията, която да се заеме от името на Съюза, тъй като след приемането ѝ по реда на член 16 от Конвенцията чрез препоръката ще може съществено да се повлияе върху съдържанието на законодателството на Съюза, а именно приложение 1 към Регламент (EИО) № 2658/87 на Съвета относно тарифната и статистическа номенклатура и Общата митническа тарифа. Позицията ще бъде изразена на етапите на подготовката за заседанието на Съвета на СМО, в т.ч. в Комитета по ХС.</w:t>
      </w:r>
    </w:p>
    <w:p>
      <w:pPr>
        <w:pStyle w:val="ManualConsidrant"/>
        <w:rPr>
          <w:noProof/>
        </w:rPr>
      </w:pPr>
      <w:r>
        <w:t>(7)</w:t>
      </w:r>
      <w:r>
        <w:tab/>
      </w:r>
      <w:r>
        <w:rPr>
          <w:noProof/>
        </w:rPr>
        <w:t xml:space="preserve">Целесъобразно е проектът на изменението на глава 24 от Номенклатурата на ХС да се подкрепи и да се изразят мненията и предпочитанията на Съюза за текстовете, по които предстои да се вземе решение, с разбирането, че на заседанието на Комитета по ХС Съюзът ще подкрепи този текст на предложението на Комитета, който е съобразен с мнението на мнозинството от договарящите страни, </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Съвета на СМО, е изложена в приложението.</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 xml:space="preserve">Председател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„Новите“ тютюневи изделия в контекста на обсъждането на ХС не са непременно същите като изделията, обхванати от определението за „нови тютюневи изделия“ по член 2, точка 14 от Директива 2014/40/ЕС на Европейския парламент и на Съвета от 3 април 2014 г.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и за отмяна на Директива 2001/37/ЕО (ОВ L 127, 29.4.2014 г., стp. 1). </w:t>
      </w:r>
    </w:p>
  </w:footnote>
  <w:footnote w:id="2">
    <w:p>
      <w:pPr>
        <w:pStyle w:val="FootnoteText"/>
      </w:pPr>
      <w:r>
        <w:rPr>
          <w:rStyle w:val="FootnoteReference"/>
        </w:rPr>
        <w:footnoteRef/>
      </w:r>
      <w:r>
        <w:tab/>
        <w:t>От въвеждането ѝ през 1988 г. насам Номенклатурата на ХС е била изменяна пет пъти. Тези изменения са влезли в сила съответно през 1996, 2002, 2007, 2012 и 2017 г.</w:t>
      </w:r>
    </w:p>
  </w:footnote>
  <w:footnote w:id="3">
    <w:p>
      <w:pPr>
        <w:pStyle w:val="FootnoteText"/>
      </w:pPr>
      <w:r>
        <w:rPr>
          <w:rStyle w:val="FootnoteReference"/>
        </w:rPr>
        <w:footnoteRef/>
      </w:r>
      <w:r>
        <w:tab/>
        <w:t>Решение 87/369/ЕИО на Съвета от 7 април 1987 г. за сключване на Международната конвенция относно Хармонизираната система за описание и кодиране на стоките и протокола за изменение към нея (ОВ L 198, 20.7.1987 г., стр. 1).</w:t>
      </w:r>
    </w:p>
  </w:footnote>
  <w:footnote w:id="4">
    <w:p>
      <w:pPr>
        <w:pStyle w:val="FootnoteText"/>
      </w:pPr>
      <w:r>
        <w:rPr>
          <w:rStyle w:val="FootnoteReference"/>
        </w:rPr>
        <w:footnoteRef/>
      </w:r>
      <w:r>
        <w:tab/>
        <w:t>Решение FCTC/COP8(22).</w:t>
      </w:r>
    </w:p>
  </w:footnote>
  <w:footnote w:id="5">
    <w:p>
      <w:pPr>
        <w:pStyle w:val="FootnoteText"/>
        <w:ind w:left="709" w:hanging="709"/>
      </w:pPr>
      <w:r>
        <w:rPr>
          <w:rStyle w:val="FootnoteReference"/>
        </w:rPr>
        <w:footnoteRef/>
      </w:r>
      <w:r>
        <w:tab/>
        <w:t>Позиция 24.02 обхваща: „Пури (включително тези с отрязани краища), пурети и цигари от тютюн или от заместители на тютюна“. Позиция 24.03 обхваща: „Други видове тютюн и заместители на тютюна, обработени; „хомогенизирани“ или „възстановени“ тютюни; тютюневи екстракти и сокове“.</w:t>
      </w:r>
    </w:p>
  </w:footnote>
  <w:footnote w:id="6">
    <w:p>
      <w:pPr>
        <w:pStyle w:val="FootnoteText"/>
      </w:pPr>
      <w:r>
        <w:rPr>
          <w:rStyle w:val="FootnoteReference"/>
        </w:rPr>
        <w:footnoteRef/>
      </w:r>
      <w:r>
        <w:tab/>
        <w:t xml:space="preserve">Решение на Съда на Европейския съюз от 7 октомври 2014 г., Германия/Съвет, C-399/12, ECLI:EU:C:2014:2258, т. 61 – 64. </w:t>
      </w:r>
    </w:p>
  </w:footnote>
  <w:footnote w:id="7">
    <w:p>
      <w:pPr>
        <w:pStyle w:val="FootnoteText"/>
      </w:pPr>
      <w:r>
        <w:rPr>
          <w:rStyle w:val="FootnoteReference"/>
        </w:rPr>
        <w:footnoteRef/>
      </w:r>
      <w:r>
        <w:tab/>
        <w:t>OB L 198, 20.7.1987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13"/>
    <w:lvlOverride w:ilvl="0">
      <w:startOverride w:val="1"/>
    </w:lvlOverride>
  </w:num>
  <w:num w:numId="19">
    <w:abstractNumId w:val="21"/>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 w:numId="34">
    <w:abstractNumId w:val="21"/>
  </w:num>
  <w:num w:numId="35">
    <w:abstractNumId w:val="11"/>
  </w:num>
  <w:num w:numId="36">
    <w:abstractNumId w:val="24"/>
  </w:num>
  <w:num w:numId="37">
    <w:abstractNumId w:val="6"/>
  </w:num>
  <w:num w:numId="38">
    <w:abstractNumId w:val="12"/>
  </w:num>
  <w:num w:numId="39">
    <w:abstractNumId w:val="4"/>
  </w:num>
  <w:num w:numId="40">
    <w:abstractNumId w:val="23"/>
  </w:num>
  <w:num w:numId="41">
    <w:abstractNumId w:val="3"/>
  </w:num>
  <w:num w:numId="42">
    <w:abstractNumId w:val="13"/>
  </w:num>
  <w:num w:numId="43">
    <w:abstractNumId w:val="19"/>
  </w:num>
  <w:num w:numId="44">
    <w:abstractNumId w:val="20"/>
  </w:num>
  <w:num w:numId="45">
    <w:abstractNumId w:val="5"/>
  </w:num>
  <w:num w:numId="46">
    <w:abstractNumId w:val="17"/>
  </w:num>
  <w:num w:numId="4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1 10:12: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33FBB89-33B9-4110-B9C4-E353D88614EF"/>
    <w:docVar w:name="LW_COVERPAGE_TYPE" w:val="1"/>
    <w:docVar w:name="LW_CROSSREFERENCE" w:val="&lt;UNUSED&gt;"/>
    <w:docVar w:name="LW_DocType" w:val="COM"/>
    <w:docVar w:name="LW_EMISSION" w:val="1.3.2019"/>
    <w:docVar w:name="LW_EMISSION_ISODATE" w:val="2019-03-01"/>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69"/>
    <w:docVar w:name="LW_REF.II.NEW.CP_YEAR" w:val="2019"/>
    <w:docVar w:name="LW_REF.INST.NEW" w:val="COM"/>
    <w:docVar w:name="LW_REF.INST.NEW_ADOPTED" w:val="final"/>
    <w:docVar w:name="LW_REF.INST.NEW_TEXT" w:val="(2019) 1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74?\u1077?\u1090?\u1086?\u1074?\u1085?\u1072?\u1090?\u1072? \u1084?\u1080?\u1090?\u1085?\u1080?\u1095?\u1077?\u1089?\u1082?\u1072? \u1086?\u1088?\u1075?\u1072?\u1085?\u1080?\u1079?\u1072?\u1094?\u1080?\u1103? \u1074?\u1098?\u1074? \u1074?\u1088?\u1098?\u1079?\u1082?\u1072? \u1089? \u1061?\u1072?\u1088?\u1084?\u1086?\u1085?\u1080?\u1079?\u1080?\u1088?\u1072?\u1085?\u1072?\u1090?\u1072? \u1089?\u1080?\u1089?\u1090?\u1077?\u1084?\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bg-BG" w:eastAsia="bg-BG"/>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bg-BG" w:eastAsia="bg-BG"/>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186">
      <w:bodyDiv w:val="1"/>
      <w:marLeft w:val="0"/>
      <w:marRight w:val="0"/>
      <w:marTop w:val="0"/>
      <w:marBottom w:val="0"/>
      <w:divBdr>
        <w:top w:val="none" w:sz="0" w:space="0" w:color="auto"/>
        <w:left w:val="none" w:sz="0" w:space="0" w:color="auto"/>
        <w:bottom w:val="none" w:sz="0" w:space="0" w:color="auto"/>
        <w:right w:val="none" w:sz="0" w:space="0" w:color="auto"/>
      </w:divBdr>
      <w:divsChild>
        <w:div w:id="928659607">
          <w:marLeft w:val="0"/>
          <w:marRight w:val="0"/>
          <w:marTop w:val="0"/>
          <w:marBottom w:val="0"/>
          <w:divBdr>
            <w:top w:val="none" w:sz="0" w:space="0" w:color="auto"/>
            <w:left w:val="none" w:sz="0" w:space="0" w:color="auto"/>
            <w:bottom w:val="none" w:sz="0" w:space="0" w:color="auto"/>
            <w:right w:val="none" w:sz="0" w:space="0" w:color="auto"/>
          </w:divBdr>
          <w:divsChild>
            <w:div w:id="580330350">
              <w:marLeft w:val="1350"/>
              <w:marRight w:val="0"/>
              <w:marTop w:val="375"/>
              <w:marBottom w:val="600"/>
              <w:divBdr>
                <w:top w:val="none" w:sz="0" w:space="0" w:color="auto"/>
                <w:left w:val="none" w:sz="0" w:space="0" w:color="auto"/>
                <w:bottom w:val="none" w:sz="0" w:space="0" w:color="auto"/>
                <w:right w:val="none" w:sz="0" w:space="0" w:color="auto"/>
              </w:divBdr>
              <w:divsChild>
                <w:div w:id="1185754947">
                  <w:marLeft w:val="0"/>
                  <w:marRight w:val="0"/>
                  <w:marTop w:val="0"/>
                  <w:marBottom w:val="0"/>
                  <w:divBdr>
                    <w:top w:val="none" w:sz="0" w:space="0" w:color="auto"/>
                    <w:left w:val="none" w:sz="0" w:space="0" w:color="auto"/>
                    <w:bottom w:val="none" w:sz="0" w:space="0" w:color="auto"/>
                    <w:right w:val="none" w:sz="0" w:space="0" w:color="auto"/>
                  </w:divBdr>
                  <w:divsChild>
                    <w:div w:id="370570500">
                      <w:marLeft w:val="0"/>
                      <w:marRight w:val="0"/>
                      <w:marTop w:val="0"/>
                      <w:marBottom w:val="0"/>
                      <w:divBdr>
                        <w:top w:val="none" w:sz="0" w:space="0" w:color="auto"/>
                        <w:left w:val="none" w:sz="0" w:space="0" w:color="auto"/>
                        <w:bottom w:val="none" w:sz="0" w:space="0" w:color="auto"/>
                        <w:right w:val="none" w:sz="0" w:space="0" w:color="auto"/>
                      </w:divBdr>
                      <w:divsChild>
                        <w:div w:id="360327064">
                          <w:marLeft w:val="0"/>
                          <w:marRight w:val="0"/>
                          <w:marTop w:val="0"/>
                          <w:marBottom w:val="0"/>
                          <w:divBdr>
                            <w:top w:val="none" w:sz="0" w:space="0" w:color="auto"/>
                            <w:left w:val="none" w:sz="0" w:space="0" w:color="auto"/>
                            <w:bottom w:val="none" w:sz="0" w:space="0" w:color="auto"/>
                            <w:right w:val="none" w:sz="0" w:space="0" w:color="auto"/>
                          </w:divBdr>
                          <w:divsChild>
                            <w:div w:id="866144496">
                              <w:marLeft w:val="0"/>
                              <w:marRight w:val="0"/>
                              <w:marTop w:val="0"/>
                              <w:marBottom w:val="0"/>
                              <w:divBdr>
                                <w:top w:val="none" w:sz="0" w:space="0" w:color="auto"/>
                                <w:left w:val="none" w:sz="0" w:space="0" w:color="auto"/>
                                <w:bottom w:val="none" w:sz="0" w:space="0" w:color="auto"/>
                                <w:right w:val="none" w:sz="0" w:space="0" w:color="auto"/>
                              </w:divBdr>
                              <w:divsChild>
                                <w:div w:id="841965663">
                                  <w:marLeft w:val="0"/>
                                  <w:marRight w:val="0"/>
                                  <w:marTop w:val="0"/>
                                  <w:marBottom w:val="0"/>
                                  <w:divBdr>
                                    <w:top w:val="none" w:sz="0" w:space="0" w:color="auto"/>
                                    <w:left w:val="none" w:sz="0" w:space="0" w:color="auto"/>
                                    <w:bottom w:val="none" w:sz="0" w:space="0" w:color="auto"/>
                                    <w:right w:val="none" w:sz="0" w:space="0" w:color="auto"/>
                                  </w:divBdr>
                                  <w:divsChild>
                                    <w:div w:id="182477068">
                                      <w:marLeft w:val="150"/>
                                      <w:marRight w:val="150"/>
                                      <w:marTop w:val="150"/>
                                      <w:marBottom w:val="150"/>
                                      <w:divBdr>
                                        <w:top w:val="single" w:sz="36" w:space="8" w:color="E6E9EB"/>
                                        <w:left w:val="single" w:sz="36" w:space="8" w:color="E6E9EB"/>
                                        <w:bottom w:val="single" w:sz="36" w:space="8" w:color="E6E9EB"/>
                                        <w:right w:val="single" w:sz="36" w:space="8" w:color="E6E9EB"/>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64D0D-34AA-4855-AF80-DE2140A6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2499</Words>
  <Characters>13625</Characters>
  <Application>Microsoft Office Word</Application>
  <DocSecurity>0</DocSecurity>
  <Lines>262</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2019-02-22T15:36:00Z</cp:lastPrinted>
  <dcterms:created xsi:type="dcterms:W3CDTF">2019-03-08T10:39:00Z</dcterms:created>
  <dcterms:modified xsi:type="dcterms:W3CDTF">2019-03-11T09:12:00Z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