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C805CAC-DEE4-4257-ADE4-1A9925472DDC" style="width:450.75pt;height:424.5pt">
            <v:imagedata r:id="rId8" o:title=""/>
          </v:shape>
        </w:pict>
      </w:r>
    </w:p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1</w:t>
      </w:r>
    </w:p>
    <w:p>
      <w:pPr>
        <w:pStyle w:val="ManualHeading1"/>
        <w:rPr>
          <w:noProof/>
        </w:rPr>
      </w:pPr>
      <w:r>
        <w:rPr>
          <w:noProof/>
        </w:rPr>
        <w:t>Изменения на Митническата конвенция относно международния превоз на стоки под покритието на карнети ТИР (Конвенция ТИР от 1975 г.)</w:t>
      </w:r>
    </w:p>
    <w:p>
      <w:pPr>
        <w:pStyle w:val="Text1"/>
        <w:rPr>
          <w:noProof/>
        </w:rPr>
      </w:pPr>
    </w:p>
    <w:p>
      <w:pPr>
        <w:pStyle w:val="ManualHeading2"/>
        <w:tabs>
          <w:tab w:val="clear" w:pos="850"/>
          <w:tab w:val="left" w:pos="284"/>
        </w:tabs>
        <w:ind w:left="284" w:hanging="284"/>
        <w:rPr>
          <w:noProof/>
          <w:szCs w:val="24"/>
        </w:rPr>
      </w:pPr>
      <w:r>
        <w:rPr>
          <w:noProof/>
        </w:rPr>
        <w:t>I Изменения на основния текст на Конвенция ТИР, предмет на процедурата за изменение по член 59:</w:t>
      </w:r>
    </w:p>
    <w:p>
      <w:pPr>
        <w:pStyle w:val="Default"/>
        <w:rPr>
          <w:noProof/>
          <w:lang w:val="ru-RU"/>
        </w:rPr>
      </w:pPr>
    </w:p>
    <w:p>
      <w:pPr>
        <w:pStyle w:val="Default"/>
        <w:jc w:val="both"/>
        <w:rPr>
          <w:b/>
          <w:bCs/>
          <w:i/>
          <w:noProof/>
        </w:rPr>
      </w:pPr>
      <w:r>
        <w:rPr>
          <w:b/>
          <w:i/>
          <w:noProof/>
        </w:rPr>
        <w:t>Член 6, параграф 1</w:t>
      </w:r>
    </w:p>
    <w:p>
      <w:pPr>
        <w:pStyle w:val="Default"/>
        <w:jc w:val="both"/>
        <w:rPr>
          <w:b/>
          <w:bCs/>
          <w:i/>
          <w:noProof/>
        </w:rPr>
      </w:pPr>
    </w:p>
    <w:p>
      <w:pPr>
        <w:pStyle w:val="Default"/>
        <w:ind w:left="720"/>
        <w:jc w:val="both"/>
        <w:rPr>
          <w:noProof/>
        </w:rPr>
      </w:pPr>
      <w:r>
        <w:rPr>
          <w:noProof/>
        </w:rPr>
        <w:t xml:space="preserve">„Всяка“ </w:t>
      </w:r>
      <w:r>
        <w:rPr>
          <w:i/>
          <w:noProof/>
        </w:rPr>
        <w:t>се заменя с</w:t>
      </w:r>
      <w:r>
        <w:rPr>
          <w:noProof/>
        </w:rPr>
        <w:t xml:space="preserve"> „Митническите органи или други компетентни органи на“ </w:t>
      </w:r>
    </w:p>
    <w:p>
      <w:pPr>
        <w:pStyle w:val="Default"/>
        <w:jc w:val="both"/>
        <w:rPr>
          <w:noProof/>
        </w:rPr>
      </w:pPr>
    </w:p>
    <w:p>
      <w:pPr>
        <w:pStyle w:val="Default"/>
        <w:jc w:val="both"/>
        <w:rPr>
          <w:noProof/>
        </w:rPr>
      </w:pPr>
    </w:p>
    <w:p>
      <w:pPr>
        <w:pStyle w:val="Default"/>
        <w:jc w:val="both"/>
        <w:rPr>
          <w:b/>
          <w:bCs/>
          <w:i/>
          <w:noProof/>
        </w:rPr>
      </w:pPr>
      <w:r>
        <w:rPr>
          <w:b/>
          <w:i/>
          <w:noProof/>
        </w:rPr>
        <w:t>Член 18, ред 3</w:t>
      </w:r>
    </w:p>
    <w:p>
      <w:pPr>
        <w:pStyle w:val="Default"/>
        <w:jc w:val="both"/>
        <w:rPr>
          <w:i/>
          <w:noProof/>
        </w:rPr>
      </w:pPr>
    </w:p>
    <w:p>
      <w:pPr>
        <w:pStyle w:val="Default"/>
        <w:ind w:left="720"/>
        <w:jc w:val="both"/>
        <w:rPr>
          <w:noProof/>
        </w:rPr>
      </w:pPr>
      <w:r>
        <w:rPr>
          <w:noProof/>
        </w:rPr>
        <w:t xml:space="preserve">„Четири“ </w:t>
      </w:r>
      <w:r>
        <w:rPr>
          <w:i/>
          <w:noProof/>
        </w:rPr>
        <w:t>се заменя с</w:t>
      </w:r>
      <w:r>
        <w:rPr>
          <w:noProof/>
        </w:rPr>
        <w:t xml:space="preserve"> „осем“</w:t>
      </w:r>
    </w:p>
    <w:p>
      <w:pPr>
        <w:pStyle w:val="ManualHeading2"/>
        <w:tabs>
          <w:tab w:val="clear" w:pos="850"/>
          <w:tab w:val="left" w:pos="0"/>
        </w:tabs>
        <w:ind w:left="720" w:firstLine="0"/>
        <w:jc w:val="left"/>
        <w:rPr>
          <w:b w:val="0"/>
          <w:noProof/>
          <w:szCs w:val="24"/>
        </w:rPr>
      </w:pPr>
      <w:r>
        <w:rPr>
          <w:b w:val="0"/>
          <w:i/>
          <w:noProof/>
        </w:rPr>
        <w:t>Добавя се нов параграф, който гласи</w:t>
      </w:r>
      <w:r>
        <w:rPr>
          <w:b w:val="0"/>
          <w:noProof/>
        </w:rPr>
        <w:t>: „Митническите органи могат да ограничат максималния брой на отправните (или получаващите) митнически учреждения на своята територия до по-малко от седем, но не по-малко от три“</w:t>
      </w:r>
      <w:r>
        <w:rPr>
          <w:noProof/>
        </w:rPr>
        <w:t xml:space="preserve"> </w:t>
      </w:r>
    </w:p>
    <w:p>
      <w:pPr>
        <w:pStyle w:val="Text1"/>
        <w:rPr>
          <w:noProof/>
        </w:rPr>
      </w:pPr>
    </w:p>
    <w:p>
      <w:pPr>
        <w:pStyle w:val="ManualHeading2"/>
        <w:tabs>
          <w:tab w:val="clear" w:pos="850"/>
          <w:tab w:val="left" w:pos="284"/>
        </w:tabs>
        <w:ind w:left="284" w:hanging="284"/>
        <w:rPr>
          <w:noProof/>
          <w:szCs w:val="24"/>
        </w:rPr>
      </w:pPr>
      <w:r>
        <w:rPr>
          <w:noProof/>
        </w:rPr>
        <w:t>II Изменения на приложенията към Конвенция ТИР, предмет на процедурата за изменение по член 60:</w:t>
      </w:r>
    </w:p>
    <w:p>
      <w:pPr>
        <w:pStyle w:val="Default"/>
        <w:jc w:val="both"/>
        <w:rPr>
          <w:noProof/>
        </w:rPr>
      </w:pPr>
    </w:p>
    <w:p>
      <w:pPr>
        <w:pStyle w:val="Default"/>
        <w:jc w:val="both"/>
        <w:rPr>
          <w:i/>
          <w:noProof/>
        </w:rPr>
      </w:pPr>
      <w:r>
        <w:rPr>
          <w:b/>
          <w:i/>
          <w:noProof/>
        </w:rPr>
        <w:t>Приложение 6, обяснителна бележка към член 6, параграф 2</w:t>
      </w:r>
    </w:p>
    <w:p>
      <w:pPr>
        <w:pStyle w:val="Default"/>
        <w:ind w:left="720"/>
        <w:jc w:val="both"/>
        <w:rPr>
          <w:i/>
          <w:noProof/>
        </w:rPr>
      </w:pPr>
    </w:p>
    <w:p>
      <w:pPr>
        <w:pStyle w:val="Default"/>
        <w:ind w:left="720"/>
        <w:jc w:val="both"/>
        <w:rPr>
          <w:noProof/>
        </w:rPr>
      </w:pPr>
      <w:r>
        <w:rPr>
          <w:i/>
          <w:noProof/>
        </w:rPr>
        <w:t>Думите</w:t>
      </w:r>
      <w:r>
        <w:rPr>
          <w:noProof/>
        </w:rPr>
        <w:t xml:space="preserve"> „страна могат да одобрят“ </w:t>
      </w:r>
      <w:r>
        <w:rPr>
          <w:i/>
          <w:noProof/>
        </w:rPr>
        <w:t>се заменят с</w:t>
      </w:r>
      <w:r>
        <w:rPr>
          <w:noProof/>
        </w:rPr>
        <w:t xml:space="preserve"> „договаряща страна могат да упълномощят“</w:t>
      </w:r>
    </w:p>
    <w:p>
      <w:pPr>
        <w:pStyle w:val="Default"/>
        <w:jc w:val="both"/>
        <w:rPr>
          <w:noProof/>
        </w:rPr>
      </w:pPr>
    </w:p>
    <w:p>
      <w:pPr>
        <w:pStyle w:val="Default"/>
        <w:jc w:val="both"/>
        <w:rPr>
          <w:b/>
          <w:bCs/>
          <w:i/>
          <w:noProof/>
        </w:rPr>
      </w:pPr>
      <w:r>
        <w:rPr>
          <w:b/>
          <w:i/>
          <w:noProof/>
        </w:rPr>
        <w:t>Приложение 6, нова обяснителна бележка към член 18</w:t>
      </w:r>
    </w:p>
    <w:p>
      <w:pPr>
        <w:pStyle w:val="Default"/>
        <w:ind w:left="720"/>
        <w:jc w:val="both"/>
        <w:rPr>
          <w:b/>
          <w:bCs/>
          <w:i/>
          <w:noProof/>
        </w:rPr>
      </w:pPr>
    </w:p>
    <w:p>
      <w:pPr>
        <w:pStyle w:val="Default"/>
        <w:ind w:left="1440" w:hanging="720"/>
        <w:jc w:val="both"/>
        <w:rPr>
          <w:noProof/>
        </w:rPr>
      </w:pPr>
      <w:r>
        <w:rPr>
          <w:noProof/>
        </w:rPr>
        <w:t>0.18.3 Договарящите страни оповестяват публично информацията за подобни ограничения и уведомяват Изпълнителния съвет ТИР, включително чрез подходящо използване на електронни приложения, разработени за тази цел от секретариата ТИР под надзора на Изпълнителния съвет ТИР.</w:t>
      </w:r>
    </w:p>
    <w:p>
      <w:pPr>
        <w:pStyle w:val="Default"/>
        <w:jc w:val="both"/>
        <w:rPr>
          <w:noProof/>
        </w:rPr>
      </w:pPr>
    </w:p>
    <w:p>
      <w:pPr>
        <w:pStyle w:val="Default"/>
        <w:jc w:val="both"/>
        <w:rPr>
          <w:b/>
          <w:bCs/>
          <w:i/>
          <w:noProof/>
        </w:rPr>
      </w:pPr>
      <w:r>
        <w:rPr>
          <w:b/>
          <w:i/>
          <w:noProof/>
        </w:rPr>
        <w:t>Приложение 9, част I, параграф 1</w:t>
      </w:r>
    </w:p>
    <w:p>
      <w:pPr>
        <w:pStyle w:val="Default"/>
        <w:ind w:left="720"/>
        <w:jc w:val="both"/>
        <w:rPr>
          <w:b/>
          <w:bCs/>
          <w:i/>
          <w:noProof/>
        </w:rPr>
      </w:pPr>
    </w:p>
    <w:p>
      <w:pPr>
        <w:pStyle w:val="Default"/>
        <w:ind w:left="720"/>
        <w:jc w:val="both"/>
        <w:rPr>
          <w:noProof/>
        </w:rPr>
      </w:pPr>
      <w:r>
        <w:rPr>
          <w:i/>
          <w:noProof/>
        </w:rPr>
        <w:t>Думите</w:t>
      </w:r>
      <w:r>
        <w:rPr>
          <w:noProof/>
        </w:rPr>
        <w:t xml:space="preserve"> „договарящите страни“ </w:t>
      </w:r>
      <w:r>
        <w:rPr>
          <w:i/>
          <w:noProof/>
        </w:rPr>
        <w:t>се заменят с</w:t>
      </w:r>
      <w:r>
        <w:rPr>
          <w:noProof/>
        </w:rPr>
        <w:t xml:space="preserve"> „митническите органи или други компетентни органи на дадена договаряща страна“.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1FC32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4F2FE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1303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5246D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E7032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2D4BA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18E94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8549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05 10:21:1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1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3"/>
    <w:docVar w:name="DQCResult_UnknownFonts" w:val="0;0"/>
    <w:docVar w:name="DQCResult_UnknownStyles" w:val="0;21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C805CAC-DEE4-4257-ADE4-1A9925472DDC"/>
    <w:docVar w:name="LW_COVERPAGE_TYPE" w:val="1"/>
    <w:docVar w:name="LW_CROSSREFERENCE" w:val="&lt;UNUSED&gt;"/>
    <w:docVar w:name="LW_DocType" w:val="ANNEX"/>
    <w:docVar w:name="LW_EMISSION" w:val="11.3.2019"/>
    <w:docVar w:name="LW_EMISSION_ISODATE" w:val="2019-03-1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40?\u1076?\u1084?\u1080?\u1085?\u1080?\u1089?\u1090?\u1088?\u1072?\u1090?\u1080?\u1074?\u1085?\u1080?\u1103? \u1082?\u1086?\u1084?\u1080?\u1090?\u1077?\u1090? \u1079?\u1072? \u1050?\u1086?\u1085?\u1074?\u1077?\u1085?\u1094?\u1080?\u1103? \u1058?\u1048?\u1056?, \u1097?\u1086? \u1089?\u1077? \u1086?\u1090?\u1085?\u1072?\u1089?\u1103? \u1076?\u1086? \u1087?\u1088?\u1077?\u1076?\u1083?\u1086?\u1078?\u1077?\u1085?\u1080?\u1077?\u1090?\u1086? \u1079?\u1072? \u1080?\u1079?\u1084?\u1077?\u1085?\u1077?\u1085?\u1080?\u1077? \u1085?\u1072? \u1052?\u1080?\u1090?\u1085?\u1080?\u1095?\u1077?\u1089?\u1082?\u1072?\u1090?\u1072? \u1082?\u1086?\u1085?\u1074?\u1077?\u1085?\u1094?\u1080?\u1103? \u1086?\u1090?\u1085?\u1086?\u1089?\u1085?\u1086? \u1084?\u1077?\u1078?\u1076?\u1091?\u1085?\u1072?\u1088?\u1086?\u1076?\u1085?\u1080?\u1103? \u1087?\u1088?\u1077?\u1074?\u1086?\u1079? \u1085?\u1072? \u1089?\u1090?\u1086?\u1082?\u1080? \u1087?\u1086?\u1076? \u1087?\u1086?\u1082?\u1088?\u1080?\u1090?\u1080?\u1077?\u1090?\u1086? \u1085?\u1072? \u1082?\u1072?\u1088?\u1085?\u1077?\u1090?\u1080? \u1058?\u1048?\u1056?_x000b_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40?\u1076?\u1084?\u1080?\u1085?\u1080?\u1089?\u1090?\u1088?\u1072?\u1090?\u1080?\u1074?\u1085?\u1080?\u1103? \u1082?\u1086?\u1084?\u1080?\u1090?\u1077?\u1090? \u1079?\u1072? \u1050?\u1086?\u1085?\u1074?\u1077?\u1085?\u1094?\u1080?\u1103? \u1058?\u1048?\u1056?, \u1097?\u1086? \u1089?\u1077? \u1086?\u1090?\u1085?\u1072?\u1089?\u1103? \u1076?\u1086? \u1087?\u1088?\u1077?\u1076?\u1083?\u1086?\u1078?\u1077?\u1085?\u1080?\u1077?\u1090?\u1086? \u1079?\u1072? \u1080?\u1079?\u1084?\u1077?\u1085?\u1077?\u1085?\u1080?\u1077? \u1085?\u1072? \u1052?\u1080?\u1090?\u1085?\u1080?\u1095?\u1077?\u1089?\u1082?\u1072?\u1090?\u1072? \u1082?\u1086?\u1085?\u1074?\u1077?\u1085?\u1094?\u1080?\u1103? \u1086?\u1090?\u1085?\u1086?\u1089?\u1085?\u1086? \u1084?\u1077?\u1078?\u1076?\u1091?\u1085?\u1072?\u1088?\u1086?\u1076?\u1085?\u1080?\u1103? \u1087?\u1088?\u1077?\u1074?\u1086?\u1079? \u1085?\u1072? \u1089?\u1090?\u1086?\u1082?\u1080? \u1087?\u1086?\u1076? \u1087?\u1086?\u1082?\u1088?\u1080?\u1090?\u1080?\u1077?\u1090?\u1086? \u1085?\u1072? \u1082?\u1072?\u1088?\u1085?\u1077?\u1090?\u1080? \u1058?\u1048?\u1056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13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rFonts w:eastAsia="Times New Roman"/>
      <w:b/>
      <w:sz w:val="28"/>
      <w:szCs w:val="20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eastAsia="Times New Roman"/>
      <w:sz w:val="20"/>
      <w:szCs w:val="20"/>
    </w:r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jc w:val="left"/>
    </w:pPr>
    <w:rPr>
      <w:rFonts w:eastAsia="Times New Roman"/>
      <w:b/>
      <w:szCs w:val="20"/>
    </w:rPr>
  </w:style>
  <w:style w:type="character" w:customStyle="1" w:styleId="SingleTxtGChar">
    <w:name w:val="_ Single Txt_G Char"/>
    <w:link w:val="SingleTxtG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rFonts w:eastAsia="Times New Roman"/>
      <w:b/>
      <w:sz w:val="28"/>
      <w:szCs w:val="20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eastAsia="Times New Roman"/>
      <w:sz w:val="20"/>
      <w:szCs w:val="20"/>
    </w:r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jc w:val="left"/>
    </w:pPr>
    <w:rPr>
      <w:rFonts w:eastAsia="Times New Roman"/>
      <w:b/>
      <w:szCs w:val="20"/>
    </w:rPr>
  </w:style>
  <w:style w:type="character" w:customStyle="1" w:styleId="SingleTxtGChar">
    <w:name w:val="_ Single Txt_G Char"/>
    <w:link w:val="SingleTxtG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195</Words>
  <Characters>1129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GATTEGNO Valerie (TAXUD)</dc:creator>
  <cp:lastModifiedBy>WES PDFC Administrator</cp:lastModifiedBy>
  <cp:revision>8</cp:revision>
  <cp:lastPrinted>2017-06-09T16:28:00Z</cp:lastPrinted>
  <dcterms:created xsi:type="dcterms:W3CDTF">2019-02-18T09:22:00Z</dcterms:created>
  <dcterms:modified xsi:type="dcterms:W3CDTF">2019-03-05T09:21:00Z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