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4A5B1A3-E03B-42F6-B952-BEDED9BC7E95" style="width:450.75pt;height:424.5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 1</w:t>
      </w:r>
    </w:p>
    <w:p>
      <w:pPr>
        <w:pStyle w:val="ManualHeading1"/>
        <w:tabs>
          <w:tab w:val="clear" w:pos="850"/>
        </w:tabs>
        <w:ind w:left="480" w:hanging="480"/>
        <w:rPr>
          <w:noProof/>
        </w:rPr>
      </w:pPr>
      <w:r>
        <w:rPr>
          <w:noProof/>
        </w:rPr>
        <w:t>Modifications à la convention douanière relative au transport international de marchandises sous le couvert de carnets TIR (convention TIR de 1975)</w:t>
      </w:r>
    </w:p>
    <w:p>
      <w:pPr>
        <w:pStyle w:val="Text1"/>
        <w:rPr>
          <w:noProof/>
        </w:rPr>
      </w:pPr>
    </w:p>
    <w:p>
      <w:pPr>
        <w:pStyle w:val="ManualHeading2"/>
        <w:tabs>
          <w:tab w:val="clear" w:pos="850"/>
          <w:tab w:val="left" w:pos="284"/>
        </w:tabs>
        <w:ind w:left="284" w:hanging="284"/>
        <w:rPr>
          <w:noProof/>
          <w:szCs w:val="24"/>
        </w:rPr>
      </w:pPr>
      <w:r>
        <w:rPr>
          <w:noProof/>
        </w:rPr>
        <w:t>I. Modifications au dispositif de la convention TIR, conformément à la procédure d'amendement prévue à l'article 59:</w:t>
      </w:r>
    </w:p>
    <w:p>
      <w:pPr>
        <w:pStyle w:val="Default"/>
        <w:rPr>
          <w:noProof/>
          <w:lang w:val="fr-BE"/>
        </w:rPr>
      </w:pPr>
    </w:p>
    <w:p>
      <w:pPr>
        <w:pStyle w:val="Default"/>
        <w:jc w:val="both"/>
        <w:rPr>
          <w:b/>
          <w:bCs/>
          <w:i/>
          <w:noProof/>
          <w:lang w:val="fr-BE"/>
        </w:rPr>
      </w:pPr>
      <w:r>
        <w:rPr>
          <w:b/>
          <w:i/>
          <w:noProof/>
          <w:lang w:val="fr-BE"/>
        </w:rPr>
        <w:t>Article 6, paragraphe 1</w:t>
      </w:r>
    </w:p>
    <w:p>
      <w:pPr>
        <w:pStyle w:val="Default"/>
        <w:jc w:val="both"/>
        <w:rPr>
          <w:b/>
          <w:bCs/>
          <w:i/>
          <w:noProof/>
          <w:lang w:val="fr-BE"/>
        </w:rPr>
      </w:pPr>
    </w:p>
    <w:p>
      <w:pPr>
        <w:pStyle w:val="Default"/>
        <w:ind w:left="720"/>
        <w:jc w:val="both"/>
        <w:rPr>
          <w:noProof/>
          <w:lang w:val="fr-BE"/>
        </w:rPr>
      </w:pPr>
      <w:r>
        <w:rPr>
          <w:i/>
          <w:noProof/>
          <w:lang w:val="fr-BE"/>
        </w:rPr>
        <w:t>Remplacer</w:t>
      </w:r>
      <w:r>
        <w:rPr>
          <w:noProof/>
          <w:lang w:val="fr-BE"/>
        </w:rPr>
        <w:t xml:space="preserve"> chaque </w:t>
      </w:r>
      <w:r>
        <w:rPr>
          <w:i/>
          <w:noProof/>
          <w:lang w:val="fr-BE"/>
        </w:rPr>
        <w:t xml:space="preserve">par </w:t>
      </w:r>
      <w:r>
        <w:rPr>
          <w:noProof/>
          <w:lang w:val="fr-BE"/>
        </w:rPr>
        <w:t xml:space="preserve">les autorités douanières ou autres autorités compétentes d’une </w:t>
      </w:r>
    </w:p>
    <w:p>
      <w:pPr>
        <w:pStyle w:val="Default"/>
        <w:jc w:val="both"/>
        <w:rPr>
          <w:noProof/>
          <w:lang w:val="fr-BE"/>
        </w:rPr>
      </w:pPr>
    </w:p>
    <w:p>
      <w:pPr>
        <w:pStyle w:val="Default"/>
        <w:jc w:val="both"/>
        <w:rPr>
          <w:noProof/>
          <w:lang w:val="fr-BE"/>
        </w:rPr>
      </w:pPr>
    </w:p>
    <w:p>
      <w:pPr>
        <w:pStyle w:val="Default"/>
        <w:jc w:val="both"/>
        <w:rPr>
          <w:b/>
          <w:bCs/>
          <w:i/>
          <w:noProof/>
          <w:lang w:val="fr-BE"/>
        </w:rPr>
      </w:pPr>
      <w:r>
        <w:rPr>
          <w:b/>
          <w:i/>
          <w:noProof/>
          <w:lang w:val="fr-BE"/>
        </w:rPr>
        <w:t>Article 18, troisième ligne</w:t>
      </w:r>
    </w:p>
    <w:p>
      <w:pPr>
        <w:pStyle w:val="Default"/>
        <w:jc w:val="both"/>
        <w:rPr>
          <w:i/>
          <w:noProof/>
          <w:lang w:val="fr-BE"/>
        </w:rPr>
      </w:pPr>
    </w:p>
    <w:p>
      <w:pPr>
        <w:pStyle w:val="Default"/>
        <w:ind w:left="720"/>
        <w:jc w:val="both"/>
        <w:rPr>
          <w:noProof/>
          <w:lang w:val="fr-BE"/>
        </w:rPr>
      </w:pPr>
      <w:r>
        <w:rPr>
          <w:i/>
          <w:noProof/>
          <w:lang w:val="fr-BE"/>
        </w:rPr>
        <w:t xml:space="preserve">Remplacer </w:t>
      </w:r>
      <w:r>
        <w:rPr>
          <w:noProof/>
          <w:lang w:val="fr-BE"/>
        </w:rPr>
        <w:t>quatre</w:t>
      </w:r>
      <w:r>
        <w:rPr>
          <w:i/>
          <w:noProof/>
          <w:lang w:val="fr-BE"/>
        </w:rPr>
        <w:t xml:space="preserve"> par </w:t>
      </w:r>
      <w:r>
        <w:rPr>
          <w:noProof/>
          <w:lang w:val="fr-BE"/>
        </w:rPr>
        <w:t>huit</w:t>
      </w:r>
    </w:p>
    <w:p>
      <w:pPr>
        <w:pStyle w:val="ManualHeading2"/>
        <w:tabs>
          <w:tab w:val="clear" w:pos="850"/>
          <w:tab w:val="left" w:pos="0"/>
        </w:tabs>
        <w:ind w:left="720" w:firstLine="0"/>
        <w:jc w:val="left"/>
        <w:rPr>
          <w:b w:val="0"/>
          <w:noProof/>
          <w:szCs w:val="24"/>
        </w:rPr>
      </w:pPr>
      <w:r>
        <w:rPr>
          <w:b w:val="0"/>
          <w:i/>
          <w:noProof/>
        </w:rPr>
        <w:t>Ajouter</w:t>
      </w:r>
      <w:r>
        <w:rPr>
          <w:noProof/>
        </w:rPr>
        <w:t xml:space="preserve"> </w:t>
      </w:r>
      <w:r>
        <w:rPr>
          <w:b w:val="0"/>
          <w:noProof/>
        </w:rPr>
        <w:t xml:space="preserve">un nouveau paragraphe </w:t>
      </w:r>
      <w:r>
        <w:rPr>
          <w:b w:val="0"/>
          <w:i/>
          <w:noProof/>
        </w:rPr>
        <w:t>libellé</w:t>
      </w:r>
      <w:r>
        <w:rPr>
          <w:b w:val="0"/>
          <w:noProof/>
        </w:rPr>
        <w:t xml:space="preserve"> Les autorités douanières peuvent limiter le nombre maximal de bureaux de douane de départ (ou de destination) sur leur territoire à moins de sept, mais pas à moins de trois.</w:t>
      </w:r>
    </w:p>
    <w:p>
      <w:pPr>
        <w:pStyle w:val="Text1"/>
        <w:rPr>
          <w:noProof/>
        </w:rPr>
      </w:pPr>
    </w:p>
    <w:p>
      <w:pPr>
        <w:pStyle w:val="ManualHeading2"/>
        <w:tabs>
          <w:tab w:val="clear" w:pos="850"/>
          <w:tab w:val="left" w:pos="284"/>
        </w:tabs>
        <w:ind w:left="284" w:hanging="284"/>
        <w:rPr>
          <w:noProof/>
          <w:szCs w:val="24"/>
        </w:rPr>
      </w:pPr>
      <w:r>
        <w:rPr>
          <w:noProof/>
        </w:rPr>
        <w:t>II Modifications aux annexes de la convention TIR, conformément à la procédure d'amendement prévue à l'article 60:</w:t>
      </w:r>
    </w:p>
    <w:p>
      <w:pPr>
        <w:pStyle w:val="Default"/>
        <w:jc w:val="both"/>
        <w:rPr>
          <w:noProof/>
          <w:lang w:val="fr-BE"/>
        </w:rPr>
      </w:pPr>
    </w:p>
    <w:p>
      <w:pPr>
        <w:pStyle w:val="Default"/>
        <w:jc w:val="both"/>
        <w:rPr>
          <w:i/>
          <w:noProof/>
          <w:lang w:val="fr-BE"/>
        </w:rPr>
      </w:pPr>
      <w:r>
        <w:rPr>
          <w:b/>
          <w:i/>
          <w:noProof/>
          <w:lang w:val="fr-BE"/>
        </w:rPr>
        <w:t>Annexe 6, note explicative de l’article 6, paragraphe 2</w:t>
      </w:r>
    </w:p>
    <w:p>
      <w:pPr>
        <w:pStyle w:val="Default"/>
        <w:ind w:left="720"/>
        <w:jc w:val="both"/>
        <w:rPr>
          <w:i/>
          <w:noProof/>
          <w:lang w:val="fr-BE"/>
        </w:rPr>
      </w:pPr>
    </w:p>
    <w:p>
      <w:pPr>
        <w:pStyle w:val="Default"/>
        <w:ind w:left="720"/>
        <w:jc w:val="both"/>
        <w:rPr>
          <w:noProof/>
          <w:lang w:val="fr-BE"/>
        </w:rPr>
      </w:pPr>
      <w:r>
        <w:rPr>
          <w:i/>
          <w:noProof/>
          <w:lang w:val="fr-BE"/>
        </w:rPr>
        <w:t xml:space="preserve">Remplacer </w:t>
      </w:r>
      <w:r>
        <w:rPr>
          <w:noProof/>
          <w:lang w:val="fr-BE"/>
        </w:rPr>
        <w:t xml:space="preserve">d'un pays peuvent agréer </w:t>
      </w:r>
      <w:r>
        <w:rPr>
          <w:i/>
          <w:noProof/>
          <w:lang w:val="fr-BE"/>
        </w:rPr>
        <w:t>par</w:t>
      </w:r>
      <w:r>
        <w:rPr>
          <w:noProof/>
          <w:lang w:val="fr-BE"/>
        </w:rPr>
        <w:t xml:space="preserve"> d’une Partie contractante peuvent donner habilitation à</w:t>
      </w:r>
    </w:p>
    <w:p>
      <w:pPr>
        <w:pStyle w:val="Default"/>
        <w:jc w:val="both"/>
        <w:rPr>
          <w:noProof/>
          <w:lang w:val="fr-BE"/>
        </w:rPr>
      </w:pPr>
    </w:p>
    <w:p>
      <w:pPr>
        <w:pStyle w:val="Default"/>
        <w:jc w:val="both"/>
        <w:rPr>
          <w:b/>
          <w:bCs/>
          <w:i/>
          <w:noProof/>
          <w:lang w:val="fr-BE"/>
        </w:rPr>
      </w:pPr>
      <w:r>
        <w:rPr>
          <w:b/>
          <w:i/>
          <w:noProof/>
          <w:lang w:val="fr-BE"/>
        </w:rPr>
        <w:t>Annexe 6, nouvelle note explicative de l’article 18</w:t>
      </w:r>
    </w:p>
    <w:p>
      <w:pPr>
        <w:pStyle w:val="Default"/>
        <w:ind w:left="720"/>
        <w:jc w:val="both"/>
        <w:rPr>
          <w:b/>
          <w:bCs/>
          <w:i/>
          <w:noProof/>
          <w:lang w:val="fr-BE"/>
        </w:rPr>
      </w:pPr>
    </w:p>
    <w:p>
      <w:pPr>
        <w:pStyle w:val="Default"/>
        <w:ind w:left="1440" w:hanging="720"/>
        <w:jc w:val="both"/>
        <w:rPr>
          <w:noProof/>
          <w:lang w:val="fr-BE"/>
        </w:rPr>
      </w:pPr>
      <w:r>
        <w:rPr>
          <w:noProof/>
          <w:lang w:val="fr-BE"/>
        </w:rPr>
        <w:t>0.18-3 Les Parties contractantes mettent à la disposition du public les informations sur ces limitations et informent la Commission de contrôle TIR, y compris au moyen de l’utilisation conforme des applications électroniques établies à cette fin par le secrétariat TIR sous la supervision de la Commission de contrôle TIR.</w:t>
      </w:r>
    </w:p>
    <w:p>
      <w:pPr>
        <w:pStyle w:val="Default"/>
        <w:jc w:val="both"/>
        <w:rPr>
          <w:noProof/>
          <w:lang w:val="fr-BE"/>
        </w:rPr>
      </w:pPr>
    </w:p>
    <w:p>
      <w:pPr>
        <w:pStyle w:val="Default"/>
        <w:jc w:val="both"/>
        <w:rPr>
          <w:b/>
          <w:bCs/>
          <w:i/>
          <w:noProof/>
          <w:lang w:val="fr-BE"/>
        </w:rPr>
      </w:pPr>
      <w:r>
        <w:rPr>
          <w:b/>
          <w:i/>
          <w:noProof/>
          <w:lang w:val="fr-BE"/>
        </w:rPr>
        <w:t>Annexe 9, première partie, paragraphe 1</w:t>
      </w:r>
    </w:p>
    <w:p>
      <w:pPr>
        <w:pStyle w:val="Default"/>
        <w:ind w:left="720"/>
        <w:jc w:val="both"/>
        <w:rPr>
          <w:b/>
          <w:bCs/>
          <w:i/>
          <w:noProof/>
          <w:lang w:val="fr-BE"/>
        </w:rPr>
      </w:pPr>
    </w:p>
    <w:p>
      <w:pPr>
        <w:pStyle w:val="Default"/>
        <w:ind w:left="720"/>
        <w:jc w:val="both"/>
        <w:rPr>
          <w:noProof/>
          <w:lang w:val="fr-BE"/>
        </w:rPr>
      </w:pPr>
      <w:r>
        <w:rPr>
          <w:i/>
          <w:noProof/>
          <w:lang w:val="fr-BE"/>
        </w:rPr>
        <w:t>Remplacer</w:t>
      </w:r>
      <w:r>
        <w:rPr>
          <w:noProof/>
          <w:lang w:val="fr-BE"/>
        </w:rPr>
        <w:t xml:space="preserve"> Parties contractantes</w:t>
      </w:r>
      <w:r>
        <w:rPr>
          <w:i/>
          <w:noProof/>
          <w:lang w:val="fr-BE"/>
        </w:rPr>
        <w:t xml:space="preserve"> par </w:t>
      </w:r>
      <w:r>
        <w:rPr>
          <w:noProof/>
          <w:lang w:val="fr-BE"/>
        </w:rPr>
        <w:t>autorités douanières ou autres autorités compétentes d’une Partie contractante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1FC32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4F2FE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1303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5246D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E7032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2D4BA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18E94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8549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5 10:16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2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3"/>
    <w:docVar w:name="DQCResult_UnknownFonts" w:val="0;0"/>
    <w:docVar w:name="DQCResult_UnknownStyles" w:val="0;21"/>
    <w:docVar w:name="DQCStatus" w:val="Green"/>
    <w:docVar w:name="DQCVersion" w:val="3"/>
    <w:docVar w:name="DQCWithWarnings" w:val="0"/>
    <w:docVar w:name="FigNum" w:val="1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4A5B1A3-E03B-42F6-B952-BEDED9BC7E95"/>
    <w:docVar w:name="LW_COVERPAGE_TYPE" w:val="1"/>
    <w:docVar w:name="LW_CROSSREFERENCE" w:val="&lt;UNUSED&gt;"/>
    <w:docVar w:name="LW_DocType" w:val="ANNEX"/>
    <w:docVar w:name="LW_EMISSION" w:val="11.3.2019"/>
    <w:docVar w:name="LW_EMISSION_ISODATE" w:val="2019-03-1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position à prendre, au nom de l\u8217?Union européenne, au sein du comité de gestion de la convention TIR en ce qui concerne la proposition visant à modifier la convention douanière relative au transport international de marchandises sous le couvert de carnets TIR"/>
    <w:docVar w:name="LW_OBJETACTEPRINCIPAL.CP" w:val="relative à la position à prendre, au nom de l\u8217?Union européenne, au sein du comité de gestion de la convention TIR en ce qui concerne la proposition visant à modifier la convention douanière relative au transport international de marchandises sous le couvert de carnets TIR"/>
    <w:docVar w:name="LW_PART_NBR" w:val="1"/>
    <w:docVar w:name="LW_PART_NBR_TOTAL" w:val="1"/>
    <w:docVar w:name="LW_REF.INST.NEW" w:val="COM"/>
    <w:docVar w:name="LW_REF.INST.NEW_ADOPTED" w:val="final"/>
    <w:docVar w:name="LW_REF.INST.NEW_TEXT" w:val="(2019) 13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_x000b_"/>
    <w:docVar w:name="LW_TYPEACTEPRINCIPAL.CP" w:val="proposition de décision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="Times New Roman"/>
      <w:b/>
      <w:sz w:val="28"/>
      <w:szCs w:val="20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eastAsia="Times New Roman"/>
      <w:sz w:val="20"/>
      <w:szCs w:val="20"/>
    </w:r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jc w:val="left"/>
    </w:pPr>
    <w:rPr>
      <w:rFonts w:eastAsia="Times New Roman"/>
      <w:b/>
      <w:szCs w:val="20"/>
    </w:rPr>
  </w:style>
  <w:style w:type="character" w:customStyle="1" w:styleId="SingleTxtGChar">
    <w:name w:val="_ Single Txt_G Char"/>
    <w:link w:val="SingleTxtG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="Times New Roman"/>
      <w:b/>
      <w:sz w:val="28"/>
      <w:szCs w:val="20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eastAsia="Times New Roman"/>
      <w:sz w:val="20"/>
      <w:szCs w:val="20"/>
    </w:r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jc w:val="left"/>
    </w:pPr>
    <w:rPr>
      <w:rFonts w:eastAsia="Times New Roman"/>
      <w:b/>
      <w:szCs w:val="20"/>
    </w:rPr>
  </w:style>
  <w:style w:type="character" w:customStyle="1" w:styleId="SingleTxtGChar">
    <w:name w:val="_ Single Txt_G Char"/>
    <w:link w:val="SingleTxtG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215</Words>
  <Characters>1246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GATTEGNO Valerie (TAXUD)</dc:creator>
  <cp:lastModifiedBy>DIGIT/C6</cp:lastModifiedBy>
  <cp:revision>8</cp:revision>
  <cp:lastPrinted>2017-06-09T16:28:00Z</cp:lastPrinted>
  <dcterms:created xsi:type="dcterms:W3CDTF">2019-02-12T14:18:00Z</dcterms:created>
  <dcterms:modified xsi:type="dcterms:W3CDTF">2019-03-05T09:16:00Z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